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32" w:rsidRDefault="00482C32" w:rsidP="00BB3C22">
      <w:pPr>
        <w:snapToGrid w:val="0"/>
        <w:spacing w:line="660" w:lineRule="exact"/>
        <w:jc w:val="distribute"/>
        <w:rPr>
          <w:rFonts w:eastAsia="黑体"/>
          <w:b/>
          <w:bCs/>
          <w:sz w:val="44"/>
          <w:szCs w:val="44"/>
        </w:rPr>
      </w:pPr>
    </w:p>
    <w:p w:rsidR="00482C32" w:rsidRDefault="0018416B">
      <w:pPr>
        <w:snapToGrid w:val="0"/>
        <w:spacing w:line="660" w:lineRule="exact"/>
        <w:jc w:val="center"/>
        <w:rPr>
          <w:rFonts w:ascii="方正小标宋简体" w:eastAsia="方正小标宋简体"/>
          <w:bCs/>
          <w:sz w:val="44"/>
          <w:szCs w:val="44"/>
        </w:rPr>
      </w:pPr>
      <w:r>
        <w:rPr>
          <w:rFonts w:ascii="方正小标宋简体" w:eastAsia="方正小标宋简体" w:hint="eastAsia"/>
          <w:bCs/>
          <w:sz w:val="44"/>
          <w:szCs w:val="44"/>
        </w:rPr>
        <w:t>关于2021年灵台县一般公共预算</w:t>
      </w:r>
    </w:p>
    <w:p w:rsidR="00482C32" w:rsidRDefault="0018416B">
      <w:pPr>
        <w:snapToGrid w:val="0"/>
        <w:spacing w:line="660" w:lineRule="exact"/>
        <w:jc w:val="center"/>
        <w:rPr>
          <w:rFonts w:ascii="方正小标宋简体" w:eastAsia="方正小标宋简体"/>
          <w:bCs/>
          <w:sz w:val="44"/>
          <w:szCs w:val="44"/>
        </w:rPr>
      </w:pPr>
      <w:r>
        <w:rPr>
          <w:rFonts w:ascii="方正小标宋简体" w:eastAsia="方正小标宋简体" w:hint="eastAsia"/>
          <w:bCs/>
          <w:sz w:val="44"/>
          <w:szCs w:val="44"/>
        </w:rPr>
        <w:t>收入决算的说明</w:t>
      </w:r>
    </w:p>
    <w:p w:rsidR="00482C32" w:rsidRDefault="00482C32">
      <w:pPr>
        <w:snapToGrid w:val="0"/>
        <w:spacing w:line="600" w:lineRule="exact"/>
        <w:jc w:val="center"/>
        <w:rPr>
          <w:b/>
          <w:bCs/>
          <w:sz w:val="40"/>
          <w:szCs w:val="40"/>
        </w:rPr>
      </w:pPr>
    </w:p>
    <w:p w:rsidR="00482C32" w:rsidRDefault="0018416B">
      <w:pPr>
        <w:spacing w:line="600" w:lineRule="exact"/>
        <w:ind w:firstLine="640"/>
        <w:rPr>
          <w:rFonts w:eastAsia="仿宋_GB2312"/>
          <w:sz w:val="32"/>
          <w:szCs w:val="32"/>
        </w:rPr>
      </w:pPr>
      <w:r>
        <w:rPr>
          <w:rFonts w:eastAsia="仿宋_GB2312"/>
          <w:snapToGrid w:val="0"/>
          <w:sz w:val="32"/>
          <w:szCs w:val="32"/>
        </w:rPr>
        <w:t>20</w:t>
      </w:r>
      <w:r>
        <w:rPr>
          <w:rFonts w:eastAsia="仿宋_GB2312" w:hint="eastAsia"/>
          <w:snapToGrid w:val="0"/>
          <w:sz w:val="32"/>
          <w:szCs w:val="32"/>
        </w:rPr>
        <w:t>21</w:t>
      </w:r>
      <w:r>
        <w:rPr>
          <w:rFonts w:eastAsia="仿宋_GB2312"/>
          <w:snapToGrid w:val="0"/>
          <w:sz w:val="32"/>
          <w:szCs w:val="32"/>
        </w:rPr>
        <w:t>年，全县一般公共预算收入完成</w:t>
      </w:r>
      <w:r>
        <w:rPr>
          <w:rFonts w:eastAsia="仿宋_GB2312" w:hint="eastAsia"/>
          <w:snapToGrid w:val="0"/>
          <w:sz w:val="32"/>
          <w:szCs w:val="32"/>
        </w:rPr>
        <w:t>16929</w:t>
      </w:r>
      <w:r>
        <w:rPr>
          <w:rFonts w:eastAsia="仿宋_GB2312"/>
          <w:snapToGrid w:val="0"/>
          <w:sz w:val="32"/>
          <w:szCs w:val="32"/>
        </w:rPr>
        <w:t>万元，占调整预算的</w:t>
      </w:r>
      <w:r>
        <w:rPr>
          <w:rFonts w:eastAsia="仿宋_GB2312"/>
          <w:snapToGrid w:val="0"/>
          <w:sz w:val="32"/>
          <w:szCs w:val="32"/>
        </w:rPr>
        <w:t>100</w:t>
      </w:r>
      <w:r>
        <w:rPr>
          <w:rFonts w:eastAsia="仿宋_GB2312" w:hint="eastAsia"/>
          <w:snapToGrid w:val="0"/>
          <w:sz w:val="32"/>
          <w:szCs w:val="32"/>
        </w:rPr>
        <w:t>.01</w:t>
      </w:r>
      <w:r>
        <w:rPr>
          <w:rFonts w:eastAsia="仿宋_GB2312"/>
          <w:snapToGrid w:val="0"/>
          <w:sz w:val="32"/>
          <w:szCs w:val="32"/>
        </w:rPr>
        <w:t>%</w:t>
      </w:r>
      <w:r>
        <w:rPr>
          <w:rFonts w:eastAsia="仿宋_GB2312"/>
          <w:snapToGrid w:val="0"/>
          <w:sz w:val="32"/>
          <w:szCs w:val="32"/>
        </w:rPr>
        <w:t>，较上年增收</w:t>
      </w:r>
      <w:r>
        <w:rPr>
          <w:rFonts w:eastAsia="仿宋_GB2312" w:hint="eastAsia"/>
          <w:snapToGrid w:val="0"/>
          <w:sz w:val="32"/>
          <w:szCs w:val="32"/>
        </w:rPr>
        <w:t>5550</w:t>
      </w:r>
      <w:r>
        <w:rPr>
          <w:rFonts w:eastAsia="仿宋_GB2312"/>
          <w:snapToGrid w:val="0"/>
          <w:sz w:val="32"/>
          <w:szCs w:val="32"/>
        </w:rPr>
        <w:t>万元，增长</w:t>
      </w:r>
      <w:r>
        <w:rPr>
          <w:rFonts w:eastAsia="仿宋_GB2312" w:hint="eastAsia"/>
          <w:snapToGrid w:val="0"/>
          <w:sz w:val="32"/>
          <w:szCs w:val="32"/>
        </w:rPr>
        <w:t>48.8</w:t>
      </w:r>
      <w:r>
        <w:rPr>
          <w:rFonts w:eastAsia="仿宋_GB2312"/>
          <w:snapToGrid w:val="0"/>
          <w:sz w:val="32"/>
          <w:szCs w:val="32"/>
        </w:rPr>
        <w:t>%</w:t>
      </w:r>
      <w:r>
        <w:rPr>
          <w:rFonts w:eastAsia="仿宋_GB2312"/>
          <w:sz w:val="32"/>
          <w:szCs w:val="32"/>
        </w:rPr>
        <w:t>，其中：</w:t>
      </w:r>
      <w:r>
        <w:rPr>
          <w:rFonts w:eastAsia="仿宋_GB2312" w:hAnsi="仿宋"/>
          <w:sz w:val="32"/>
          <w:szCs w:val="32"/>
        </w:rPr>
        <w:t>①</w:t>
      </w:r>
      <w:r>
        <w:rPr>
          <w:rFonts w:eastAsia="仿宋_GB2312"/>
          <w:snapToGrid w:val="0"/>
          <w:color w:val="000000"/>
          <w:spacing w:val="-2"/>
          <w:sz w:val="32"/>
          <w:szCs w:val="32"/>
        </w:rPr>
        <w:t>税收收入完成</w:t>
      </w:r>
      <w:r>
        <w:rPr>
          <w:rFonts w:eastAsia="仿宋_GB2312" w:hint="eastAsia"/>
          <w:snapToGrid w:val="0"/>
          <w:color w:val="000000"/>
          <w:spacing w:val="-2"/>
          <w:sz w:val="32"/>
          <w:szCs w:val="32"/>
        </w:rPr>
        <w:t>8926</w:t>
      </w:r>
      <w:r>
        <w:rPr>
          <w:rFonts w:eastAsia="仿宋_GB2312"/>
          <w:snapToGrid w:val="0"/>
          <w:color w:val="000000"/>
          <w:spacing w:val="-2"/>
          <w:sz w:val="32"/>
          <w:szCs w:val="32"/>
        </w:rPr>
        <w:t>万元，占调整预算的</w:t>
      </w:r>
      <w:r>
        <w:rPr>
          <w:rFonts w:eastAsia="仿宋_GB2312"/>
          <w:snapToGrid w:val="0"/>
          <w:color w:val="000000"/>
          <w:spacing w:val="-2"/>
          <w:sz w:val="32"/>
          <w:szCs w:val="32"/>
        </w:rPr>
        <w:t>100%</w:t>
      </w:r>
      <w:r>
        <w:rPr>
          <w:rFonts w:eastAsia="仿宋_GB2312"/>
          <w:snapToGrid w:val="0"/>
          <w:color w:val="000000"/>
          <w:spacing w:val="-2"/>
          <w:sz w:val="32"/>
          <w:szCs w:val="32"/>
        </w:rPr>
        <w:t>，较上年</w:t>
      </w:r>
      <w:r>
        <w:rPr>
          <w:rFonts w:eastAsia="仿宋_GB2312" w:hint="eastAsia"/>
          <w:snapToGrid w:val="0"/>
          <w:color w:val="000000"/>
          <w:spacing w:val="-2"/>
          <w:sz w:val="32"/>
          <w:szCs w:val="32"/>
        </w:rPr>
        <w:t>增</w:t>
      </w:r>
      <w:r>
        <w:rPr>
          <w:rFonts w:eastAsia="仿宋_GB2312"/>
          <w:snapToGrid w:val="0"/>
          <w:color w:val="000000"/>
          <w:spacing w:val="-2"/>
          <w:sz w:val="32"/>
          <w:szCs w:val="32"/>
        </w:rPr>
        <w:t>收</w:t>
      </w:r>
      <w:r>
        <w:rPr>
          <w:rFonts w:eastAsia="仿宋_GB2312" w:hint="eastAsia"/>
          <w:snapToGrid w:val="0"/>
          <w:color w:val="000000"/>
          <w:spacing w:val="-2"/>
          <w:sz w:val="32"/>
          <w:szCs w:val="32"/>
        </w:rPr>
        <w:t>2619</w:t>
      </w:r>
      <w:r>
        <w:rPr>
          <w:rFonts w:eastAsia="仿宋_GB2312"/>
          <w:snapToGrid w:val="0"/>
          <w:color w:val="000000"/>
          <w:spacing w:val="-2"/>
          <w:sz w:val="32"/>
          <w:szCs w:val="32"/>
        </w:rPr>
        <w:t>万元，</w:t>
      </w:r>
      <w:r>
        <w:rPr>
          <w:rFonts w:eastAsia="仿宋_GB2312" w:hint="eastAsia"/>
          <w:snapToGrid w:val="0"/>
          <w:color w:val="000000"/>
          <w:spacing w:val="-2"/>
          <w:sz w:val="32"/>
          <w:szCs w:val="32"/>
        </w:rPr>
        <w:t>增长</w:t>
      </w:r>
      <w:r>
        <w:rPr>
          <w:rFonts w:eastAsia="仿宋_GB2312" w:hint="eastAsia"/>
          <w:snapToGrid w:val="0"/>
          <w:color w:val="000000"/>
          <w:spacing w:val="-2"/>
          <w:sz w:val="32"/>
          <w:szCs w:val="32"/>
        </w:rPr>
        <w:t>41.5</w:t>
      </w:r>
      <w:r>
        <w:rPr>
          <w:rFonts w:eastAsia="仿宋_GB2312"/>
          <w:snapToGrid w:val="0"/>
          <w:color w:val="000000"/>
          <w:spacing w:val="-2"/>
          <w:sz w:val="32"/>
          <w:szCs w:val="32"/>
        </w:rPr>
        <w:t>%</w:t>
      </w:r>
      <w:r>
        <w:rPr>
          <w:rFonts w:eastAsia="仿宋_GB2312"/>
          <w:sz w:val="32"/>
          <w:szCs w:val="32"/>
        </w:rPr>
        <w:t>；</w:t>
      </w:r>
      <w:r>
        <w:rPr>
          <w:rFonts w:eastAsia="仿宋_GB2312" w:hAnsi="仿宋"/>
          <w:sz w:val="32"/>
          <w:szCs w:val="32"/>
        </w:rPr>
        <w:t>②</w:t>
      </w:r>
      <w:r>
        <w:rPr>
          <w:rFonts w:eastAsia="仿宋_GB2312"/>
          <w:snapToGrid w:val="0"/>
          <w:color w:val="000000"/>
          <w:spacing w:val="-2"/>
          <w:sz w:val="32"/>
          <w:szCs w:val="32"/>
        </w:rPr>
        <w:t>非税收入完成</w:t>
      </w:r>
      <w:r>
        <w:rPr>
          <w:rFonts w:eastAsia="仿宋_GB2312" w:hint="eastAsia"/>
          <w:snapToGrid w:val="0"/>
          <w:color w:val="000000"/>
          <w:spacing w:val="-2"/>
          <w:sz w:val="32"/>
          <w:szCs w:val="32"/>
        </w:rPr>
        <w:t>8003</w:t>
      </w:r>
      <w:r>
        <w:rPr>
          <w:rFonts w:eastAsia="仿宋_GB2312"/>
          <w:snapToGrid w:val="0"/>
          <w:color w:val="000000"/>
          <w:spacing w:val="-2"/>
          <w:sz w:val="32"/>
          <w:szCs w:val="32"/>
        </w:rPr>
        <w:t>万元，占调整预算的</w:t>
      </w:r>
      <w:r>
        <w:rPr>
          <w:rFonts w:eastAsia="仿宋_GB2312"/>
          <w:snapToGrid w:val="0"/>
          <w:color w:val="000000"/>
          <w:spacing w:val="-2"/>
          <w:sz w:val="32"/>
          <w:szCs w:val="32"/>
        </w:rPr>
        <w:t>100</w:t>
      </w:r>
      <w:r>
        <w:rPr>
          <w:rFonts w:eastAsia="仿宋_GB2312" w:hint="eastAsia"/>
          <w:snapToGrid w:val="0"/>
          <w:color w:val="000000"/>
          <w:spacing w:val="-2"/>
          <w:sz w:val="32"/>
          <w:szCs w:val="32"/>
        </w:rPr>
        <w:t>.02</w:t>
      </w:r>
      <w:r>
        <w:rPr>
          <w:rFonts w:eastAsia="仿宋_GB2312"/>
          <w:snapToGrid w:val="0"/>
          <w:color w:val="000000"/>
          <w:spacing w:val="-2"/>
          <w:sz w:val="32"/>
          <w:szCs w:val="32"/>
        </w:rPr>
        <w:t>%</w:t>
      </w:r>
      <w:r>
        <w:rPr>
          <w:rFonts w:eastAsia="仿宋_GB2312"/>
          <w:snapToGrid w:val="0"/>
          <w:color w:val="000000"/>
          <w:spacing w:val="-2"/>
          <w:sz w:val="32"/>
          <w:szCs w:val="32"/>
        </w:rPr>
        <w:t>，较上年增收</w:t>
      </w:r>
      <w:r>
        <w:rPr>
          <w:rFonts w:eastAsia="仿宋_GB2312" w:hint="eastAsia"/>
          <w:snapToGrid w:val="0"/>
          <w:color w:val="000000"/>
          <w:spacing w:val="-2"/>
          <w:sz w:val="32"/>
          <w:szCs w:val="32"/>
        </w:rPr>
        <w:t>2931</w:t>
      </w:r>
      <w:r>
        <w:rPr>
          <w:rFonts w:eastAsia="仿宋_GB2312"/>
          <w:snapToGrid w:val="0"/>
          <w:color w:val="000000"/>
          <w:spacing w:val="-2"/>
          <w:sz w:val="32"/>
          <w:szCs w:val="32"/>
        </w:rPr>
        <w:t>万元，增长</w:t>
      </w:r>
      <w:r>
        <w:rPr>
          <w:rFonts w:eastAsia="仿宋_GB2312" w:hint="eastAsia"/>
          <w:snapToGrid w:val="0"/>
          <w:color w:val="000000"/>
          <w:spacing w:val="-2"/>
          <w:sz w:val="32"/>
          <w:szCs w:val="32"/>
        </w:rPr>
        <w:t>57.8</w:t>
      </w:r>
      <w:r>
        <w:rPr>
          <w:rFonts w:eastAsia="仿宋_GB2312"/>
          <w:snapToGrid w:val="0"/>
          <w:color w:val="000000"/>
          <w:spacing w:val="-2"/>
          <w:sz w:val="32"/>
          <w:szCs w:val="32"/>
        </w:rPr>
        <w:t>%</w:t>
      </w:r>
      <w:r>
        <w:rPr>
          <w:rFonts w:eastAsia="仿宋_GB2312"/>
          <w:sz w:val="32"/>
          <w:szCs w:val="32"/>
        </w:rPr>
        <w:t>。</w:t>
      </w:r>
    </w:p>
    <w:p w:rsidR="00482C32" w:rsidRDefault="00482C32">
      <w:pPr>
        <w:spacing w:line="600" w:lineRule="exact"/>
        <w:ind w:firstLine="640"/>
        <w:rPr>
          <w:rFonts w:eastAsia="仿宋_GB2312"/>
          <w:sz w:val="32"/>
          <w:szCs w:val="32"/>
        </w:rPr>
      </w:pPr>
    </w:p>
    <w:p w:rsidR="00482C32" w:rsidRDefault="00954557">
      <w:pPr>
        <w:spacing w:line="240" w:lineRule="auto"/>
        <w:jc w:val="center"/>
        <w:rPr>
          <w:rFonts w:eastAsia="仿宋_GB2312"/>
          <w:sz w:val="32"/>
          <w:szCs w:val="32"/>
        </w:rPr>
      </w:pPr>
      <w:r w:rsidRPr="00954557">
        <w:rPr>
          <w:rFonts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04.75pt">
            <v:imagedata r:id="rId8" o:title="001"/>
          </v:shape>
        </w:pict>
      </w:r>
    </w:p>
    <w:p w:rsidR="00482C32" w:rsidRDefault="0018416B">
      <w:pPr>
        <w:spacing w:line="240" w:lineRule="auto"/>
        <w:ind w:firstLine="641"/>
        <w:rPr>
          <w:rFonts w:ascii="黑体" w:eastAsia="黑体"/>
          <w:b/>
          <w:bCs/>
          <w:color w:val="FF0000"/>
          <w:sz w:val="32"/>
          <w:szCs w:val="32"/>
        </w:rPr>
      </w:pPr>
      <w:r>
        <w:rPr>
          <w:rFonts w:ascii="黑体" w:eastAsia="黑体" w:hint="eastAsia"/>
          <w:b/>
          <w:bCs/>
          <w:sz w:val="32"/>
          <w:szCs w:val="32"/>
        </w:rPr>
        <w:t>主要收入项目完成情况：</w:t>
      </w:r>
    </w:p>
    <w:p w:rsidR="00482C32" w:rsidRDefault="0018416B">
      <w:pPr>
        <w:spacing w:line="600" w:lineRule="exact"/>
        <w:ind w:firstLine="640"/>
        <w:rPr>
          <w:rFonts w:ascii="楷体_GB2312" w:eastAsia="楷体_GB2312"/>
          <w:snapToGrid w:val="0"/>
          <w:sz w:val="32"/>
          <w:szCs w:val="32"/>
        </w:rPr>
      </w:pPr>
      <w:r>
        <w:rPr>
          <w:rFonts w:ascii="楷体_GB2312" w:eastAsia="楷体_GB2312" w:hint="eastAsia"/>
          <w:snapToGrid w:val="0"/>
          <w:sz w:val="32"/>
          <w:szCs w:val="32"/>
        </w:rPr>
        <w:t>税收收入：</w:t>
      </w:r>
    </w:p>
    <w:p w:rsidR="00482C32" w:rsidRDefault="0018416B">
      <w:pPr>
        <w:snapToGrid w:val="0"/>
        <w:spacing w:line="600" w:lineRule="exact"/>
        <w:ind w:firstLineChars="200" w:firstLine="640"/>
        <w:rPr>
          <w:rFonts w:eastAsia="仿宋_GB2312"/>
          <w:snapToGrid w:val="0"/>
          <w:sz w:val="32"/>
          <w:szCs w:val="32"/>
        </w:rPr>
      </w:pPr>
      <w:r>
        <w:rPr>
          <w:rFonts w:eastAsia="仿宋_GB2312" w:hint="eastAsia"/>
          <w:snapToGrid w:val="0"/>
          <w:sz w:val="32"/>
          <w:szCs w:val="32"/>
        </w:rPr>
        <w:t>增值税完成</w:t>
      </w:r>
      <w:r>
        <w:rPr>
          <w:rFonts w:eastAsia="仿宋_GB2312"/>
          <w:snapToGrid w:val="0"/>
          <w:sz w:val="32"/>
          <w:szCs w:val="32"/>
        </w:rPr>
        <w:t>3505</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699</w:t>
      </w:r>
      <w:r>
        <w:rPr>
          <w:rFonts w:eastAsia="仿宋_GB2312" w:hint="eastAsia"/>
          <w:snapToGrid w:val="0"/>
          <w:sz w:val="32"/>
          <w:szCs w:val="32"/>
        </w:rPr>
        <w:t>万元，增长</w:t>
      </w:r>
      <w:r>
        <w:rPr>
          <w:rFonts w:eastAsia="仿宋_GB2312"/>
          <w:snapToGrid w:val="0"/>
          <w:sz w:val="32"/>
          <w:szCs w:val="32"/>
        </w:rPr>
        <w:t>24.9%</w:t>
      </w:r>
      <w:r>
        <w:rPr>
          <w:rFonts w:eastAsia="仿宋_GB2312" w:hint="eastAsia"/>
          <w:snapToGrid w:val="0"/>
          <w:sz w:val="32"/>
          <w:szCs w:val="32"/>
        </w:rPr>
        <w:t>；企业所得税完成</w:t>
      </w:r>
      <w:r>
        <w:rPr>
          <w:rFonts w:eastAsia="仿宋_GB2312"/>
          <w:snapToGrid w:val="0"/>
          <w:sz w:val="32"/>
          <w:szCs w:val="32"/>
        </w:rPr>
        <w:t>447</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154</w:t>
      </w:r>
      <w:r>
        <w:rPr>
          <w:rFonts w:eastAsia="仿宋_GB2312" w:hint="eastAsia"/>
          <w:snapToGrid w:val="0"/>
          <w:sz w:val="32"/>
          <w:szCs w:val="32"/>
        </w:rPr>
        <w:t>万元，增长</w:t>
      </w:r>
      <w:r>
        <w:rPr>
          <w:rFonts w:eastAsia="仿宋_GB2312"/>
          <w:snapToGrid w:val="0"/>
          <w:sz w:val="32"/>
          <w:szCs w:val="32"/>
        </w:rPr>
        <w:t>52.6%</w:t>
      </w:r>
      <w:r>
        <w:rPr>
          <w:rFonts w:eastAsia="仿宋_GB2312" w:hint="eastAsia"/>
          <w:snapToGrid w:val="0"/>
          <w:sz w:val="32"/>
          <w:szCs w:val="32"/>
        </w:rPr>
        <w:t>；个人所</w:t>
      </w:r>
      <w:r>
        <w:rPr>
          <w:rFonts w:eastAsia="仿宋_GB2312" w:hint="eastAsia"/>
          <w:snapToGrid w:val="0"/>
          <w:sz w:val="32"/>
          <w:szCs w:val="32"/>
        </w:rPr>
        <w:lastRenderedPageBreak/>
        <w:t>得税完成</w:t>
      </w:r>
      <w:r>
        <w:rPr>
          <w:rFonts w:eastAsia="仿宋_GB2312"/>
          <w:snapToGrid w:val="0"/>
          <w:sz w:val="32"/>
          <w:szCs w:val="32"/>
        </w:rPr>
        <w:t>195</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52</w:t>
      </w:r>
      <w:r>
        <w:rPr>
          <w:rFonts w:eastAsia="仿宋_GB2312" w:hint="eastAsia"/>
          <w:snapToGrid w:val="0"/>
          <w:sz w:val="32"/>
          <w:szCs w:val="32"/>
        </w:rPr>
        <w:t>万元，增长</w:t>
      </w:r>
      <w:r>
        <w:rPr>
          <w:rFonts w:eastAsia="仿宋_GB2312"/>
          <w:snapToGrid w:val="0"/>
          <w:sz w:val="32"/>
          <w:szCs w:val="32"/>
        </w:rPr>
        <w:t>36.4%</w:t>
      </w:r>
      <w:r>
        <w:rPr>
          <w:rFonts w:eastAsia="仿宋_GB2312" w:hint="eastAsia"/>
          <w:snapToGrid w:val="0"/>
          <w:sz w:val="32"/>
          <w:szCs w:val="32"/>
        </w:rPr>
        <w:t>；资源税完成</w:t>
      </w:r>
      <w:r>
        <w:rPr>
          <w:rFonts w:eastAsia="仿宋_GB2312"/>
          <w:snapToGrid w:val="0"/>
          <w:sz w:val="32"/>
          <w:szCs w:val="32"/>
        </w:rPr>
        <w:t>583</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570</w:t>
      </w:r>
      <w:r>
        <w:rPr>
          <w:rFonts w:eastAsia="仿宋_GB2312" w:hint="eastAsia"/>
          <w:snapToGrid w:val="0"/>
          <w:sz w:val="32"/>
          <w:szCs w:val="32"/>
        </w:rPr>
        <w:t>万元，增长</w:t>
      </w:r>
      <w:r>
        <w:rPr>
          <w:rFonts w:eastAsia="仿宋_GB2312"/>
          <w:snapToGrid w:val="0"/>
          <w:sz w:val="32"/>
          <w:szCs w:val="32"/>
        </w:rPr>
        <w:t>43.8</w:t>
      </w:r>
      <w:r>
        <w:rPr>
          <w:rFonts w:eastAsia="仿宋_GB2312" w:hint="eastAsia"/>
          <w:snapToGrid w:val="0"/>
          <w:sz w:val="32"/>
          <w:szCs w:val="32"/>
        </w:rPr>
        <w:t>倍；城市维护建设税完成</w:t>
      </w:r>
      <w:r>
        <w:rPr>
          <w:rFonts w:eastAsia="仿宋_GB2312"/>
          <w:snapToGrid w:val="0"/>
          <w:sz w:val="32"/>
          <w:szCs w:val="32"/>
        </w:rPr>
        <w:t>533</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118</w:t>
      </w:r>
      <w:r>
        <w:rPr>
          <w:rFonts w:eastAsia="仿宋_GB2312" w:hint="eastAsia"/>
          <w:snapToGrid w:val="0"/>
          <w:sz w:val="32"/>
          <w:szCs w:val="32"/>
        </w:rPr>
        <w:t>万元，增长</w:t>
      </w:r>
      <w:r>
        <w:rPr>
          <w:rFonts w:eastAsia="仿宋_GB2312"/>
          <w:snapToGrid w:val="0"/>
          <w:sz w:val="32"/>
          <w:szCs w:val="32"/>
        </w:rPr>
        <w:t>28.4%</w:t>
      </w:r>
      <w:r>
        <w:rPr>
          <w:rFonts w:eastAsia="仿宋_GB2312" w:hint="eastAsia"/>
          <w:snapToGrid w:val="0"/>
          <w:sz w:val="32"/>
          <w:szCs w:val="32"/>
        </w:rPr>
        <w:t>；房产税完成</w:t>
      </w:r>
      <w:r>
        <w:rPr>
          <w:rFonts w:eastAsia="仿宋_GB2312"/>
          <w:snapToGrid w:val="0"/>
          <w:sz w:val="32"/>
          <w:szCs w:val="32"/>
        </w:rPr>
        <w:t>288</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68</w:t>
      </w:r>
      <w:r>
        <w:rPr>
          <w:rFonts w:eastAsia="仿宋_GB2312" w:hint="eastAsia"/>
          <w:snapToGrid w:val="0"/>
          <w:sz w:val="32"/>
          <w:szCs w:val="32"/>
        </w:rPr>
        <w:t>万元，增长</w:t>
      </w:r>
      <w:r>
        <w:rPr>
          <w:rFonts w:eastAsia="仿宋_GB2312"/>
          <w:snapToGrid w:val="0"/>
          <w:sz w:val="32"/>
          <w:szCs w:val="32"/>
        </w:rPr>
        <w:t>30.9%</w:t>
      </w:r>
      <w:r>
        <w:rPr>
          <w:rFonts w:eastAsia="仿宋_GB2312" w:hint="eastAsia"/>
          <w:snapToGrid w:val="0"/>
          <w:sz w:val="32"/>
          <w:szCs w:val="32"/>
        </w:rPr>
        <w:t>；印花税完成</w:t>
      </w:r>
      <w:r>
        <w:rPr>
          <w:rFonts w:eastAsia="仿宋_GB2312"/>
          <w:snapToGrid w:val="0"/>
          <w:sz w:val="32"/>
          <w:szCs w:val="32"/>
        </w:rPr>
        <w:t>177</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79</w:t>
      </w:r>
      <w:r>
        <w:rPr>
          <w:rFonts w:eastAsia="仿宋_GB2312" w:hint="eastAsia"/>
          <w:snapToGrid w:val="0"/>
          <w:sz w:val="32"/>
          <w:szCs w:val="32"/>
        </w:rPr>
        <w:t>万元，增长</w:t>
      </w:r>
      <w:r>
        <w:rPr>
          <w:rFonts w:eastAsia="仿宋_GB2312"/>
          <w:snapToGrid w:val="0"/>
          <w:sz w:val="32"/>
          <w:szCs w:val="32"/>
        </w:rPr>
        <w:t>80.6%</w:t>
      </w:r>
      <w:r>
        <w:rPr>
          <w:rFonts w:eastAsia="仿宋_GB2312" w:hint="eastAsia"/>
          <w:snapToGrid w:val="0"/>
          <w:sz w:val="32"/>
          <w:szCs w:val="32"/>
        </w:rPr>
        <w:t>；城镇土地使用税完成</w:t>
      </w:r>
      <w:r>
        <w:rPr>
          <w:rFonts w:eastAsia="仿宋_GB2312"/>
          <w:snapToGrid w:val="0"/>
          <w:sz w:val="32"/>
          <w:szCs w:val="32"/>
        </w:rPr>
        <w:t>125</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，较上年减收</w:t>
      </w:r>
      <w:r>
        <w:rPr>
          <w:rFonts w:eastAsia="仿宋_GB2312"/>
          <w:snapToGrid w:val="0"/>
          <w:sz w:val="32"/>
          <w:szCs w:val="32"/>
        </w:rPr>
        <w:t>97</w:t>
      </w:r>
      <w:r>
        <w:rPr>
          <w:rFonts w:eastAsia="仿宋_GB2312" w:hint="eastAsia"/>
          <w:snapToGrid w:val="0"/>
          <w:sz w:val="32"/>
          <w:szCs w:val="32"/>
        </w:rPr>
        <w:t>万元，下降</w:t>
      </w:r>
      <w:r>
        <w:rPr>
          <w:rFonts w:eastAsia="仿宋_GB2312"/>
          <w:snapToGrid w:val="0"/>
          <w:sz w:val="32"/>
          <w:szCs w:val="32"/>
        </w:rPr>
        <w:t>43.7%</w:t>
      </w:r>
      <w:r>
        <w:rPr>
          <w:rFonts w:eastAsia="仿宋_GB2312" w:hint="eastAsia"/>
          <w:snapToGrid w:val="0"/>
          <w:sz w:val="32"/>
          <w:szCs w:val="32"/>
        </w:rPr>
        <w:t>；土地增值税完成</w:t>
      </w:r>
      <w:r>
        <w:rPr>
          <w:rFonts w:eastAsia="仿宋_GB2312"/>
          <w:snapToGrid w:val="0"/>
          <w:sz w:val="32"/>
          <w:szCs w:val="32"/>
        </w:rPr>
        <w:t>870</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280</w:t>
      </w:r>
      <w:r>
        <w:rPr>
          <w:rFonts w:eastAsia="仿宋_GB2312" w:hint="eastAsia"/>
          <w:snapToGrid w:val="0"/>
          <w:sz w:val="32"/>
          <w:szCs w:val="32"/>
        </w:rPr>
        <w:t>万元，增长</w:t>
      </w:r>
      <w:r>
        <w:rPr>
          <w:rFonts w:eastAsia="仿宋_GB2312"/>
          <w:snapToGrid w:val="0"/>
          <w:sz w:val="32"/>
          <w:szCs w:val="32"/>
        </w:rPr>
        <w:t>47.5%</w:t>
      </w:r>
      <w:r>
        <w:rPr>
          <w:rFonts w:eastAsia="仿宋_GB2312" w:hint="eastAsia"/>
          <w:snapToGrid w:val="0"/>
          <w:sz w:val="32"/>
          <w:szCs w:val="32"/>
        </w:rPr>
        <w:t>；车船税完成</w:t>
      </w:r>
      <w:r>
        <w:rPr>
          <w:rFonts w:eastAsia="仿宋_GB2312"/>
          <w:snapToGrid w:val="0"/>
          <w:sz w:val="32"/>
          <w:szCs w:val="32"/>
        </w:rPr>
        <w:t>339</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，较上年减收</w:t>
      </w:r>
      <w:r>
        <w:rPr>
          <w:rFonts w:eastAsia="仿宋_GB2312"/>
          <w:snapToGrid w:val="0"/>
          <w:sz w:val="32"/>
          <w:szCs w:val="32"/>
        </w:rPr>
        <w:t>12</w:t>
      </w:r>
      <w:r>
        <w:rPr>
          <w:rFonts w:eastAsia="仿宋_GB2312" w:hint="eastAsia"/>
          <w:snapToGrid w:val="0"/>
          <w:sz w:val="32"/>
          <w:szCs w:val="32"/>
        </w:rPr>
        <w:t>万元，下降</w:t>
      </w:r>
      <w:r>
        <w:rPr>
          <w:rFonts w:eastAsia="仿宋_GB2312"/>
          <w:snapToGrid w:val="0"/>
          <w:sz w:val="32"/>
          <w:szCs w:val="32"/>
        </w:rPr>
        <w:t>3.4%</w:t>
      </w:r>
      <w:r>
        <w:rPr>
          <w:rFonts w:eastAsia="仿宋_GB2312" w:hint="eastAsia"/>
          <w:snapToGrid w:val="0"/>
          <w:sz w:val="32"/>
          <w:szCs w:val="32"/>
        </w:rPr>
        <w:t>；耕地占用税完成</w:t>
      </w:r>
      <w:r>
        <w:rPr>
          <w:rFonts w:eastAsia="仿宋_GB2312"/>
          <w:snapToGrid w:val="0"/>
          <w:sz w:val="32"/>
          <w:szCs w:val="32"/>
        </w:rPr>
        <w:t>111</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56</w:t>
      </w:r>
      <w:r>
        <w:rPr>
          <w:rFonts w:eastAsia="仿宋_GB2312" w:hint="eastAsia"/>
          <w:snapToGrid w:val="0"/>
          <w:sz w:val="32"/>
          <w:szCs w:val="32"/>
        </w:rPr>
        <w:t>万元，增长</w:t>
      </w:r>
      <w:r>
        <w:rPr>
          <w:rFonts w:eastAsia="仿宋_GB2312"/>
          <w:snapToGrid w:val="0"/>
          <w:sz w:val="32"/>
          <w:szCs w:val="32"/>
        </w:rPr>
        <w:t>101.8%</w:t>
      </w:r>
      <w:r>
        <w:rPr>
          <w:rFonts w:eastAsia="仿宋_GB2312" w:hint="eastAsia"/>
          <w:snapToGrid w:val="0"/>
          <w:sz w:val="32"/>
          <w:szCs w:val="32"/>
        </w:rPr>
        <w:t>；契税完成</w:t>
      </w:r>
      <w:r>
        <w:rPr>
          <w:rFonts w:eastAsia="仿宋_GB2312"/>
          <w:snapToGrid w:val="0"/>
          <w:sz w:val="32"/>
          <w:szCs w:val="32"/>
        </w:rPr>
        <w:t>1737</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，较上年增收</w:t>
      </w:r>
      <w:r>
        <w:rPr>
          <w:rFonts w:eastAsia="仿宋_GB2312"/>
          <w:snapToGrid w:val="0"/>
          <w:sz w:val="32"/>
          <w:szCs w:val="32"/>
        </w:rPr>
        <w:t>655</w:t>
      </w:r>
      <w:r>
        <w:rPr>
          <w:rFonts w:eastAsia="仿宋_GB2312" w:hint="eastAsia"/>
          <w:snapToGrid w:val="0"/>
          <w:sz w:val="32"/>
          <w:szCs w:val="32"/>
        </w:rPr>
        <w:t>万元，增长</w:t>
      </w:r>
      <w:r>
        <w:rPr>
          <w:rFonts w:eastAsia="仿宋_GB2312"/>
          <w:snapToGrid w:val="0"/>
          <w:sz w:val="32"/>
          <w:szCs w:val="32"/>
        </w:rPr>
        <w:t>60.5%</w:t>
      </w:r>
      <w:r>
        <w:rPr>
          <w:rFonts w:eastAsia="仿宋_GB2312" w:hint="eastAsia"/>
          <w:snapToGrid w:val="0"/>
          <w:sz w:val="32"/>
          <w:szCs w:val="32"/>
        </w:rPr>
        <w:t>；环境保护税完成</w:t>
      </w:r>
      <w:r>
        <w:rPr>
          <w:rFonts w:eastAsia="仿宋_GB2312"/>
          <w:snapToGrid w:val="0"/>
          <w:sz w:val="32"/>
          <w:szCs w:val="32"/>
        </w:rPr>
        <w:t>16</w:t>
      </w:r>
      <w:r>
        <w:rPr>
          <w:rFonts w:eastAsia="仿宋_GB2312" w:hint="eastAsia"/>
          <w:snapToGrid w:val="0"/>
          <w:sz w:val="32"/>
          <w:szCs w:val="32"/>
        </w:rPr>
        <w:t>万元，占调整预算的</w:t>
      </w:r>
      <w:r>
        <w:rPr>
          <w:rFonts w:eastAsia="仿宋_GB2312"/>
          <w:snapToGrid w:val="0"/>
          <w:sz w:val="32"/>
          <w:szCs w:val="32"/>
        </w:rPr>
        <w:t>100%</w:t>
      </w:r>
      <w:r>
        <w:rPr>
          <w:rFonts w:eastAsia="仿宋_GB2312" w:hint="eastAsia"/>
          <w:snapToGrid w:val="0"/>
          <w:sz w:val="32"/>
          <w:szCs w:val="32"/>
        </w:rPr>
        <w:t>，较上年减收</w:t>
      </w:r>
      <w:r>
        <w:rPr>
          <w:rFonts w:eastAsia="仿宋_GB2312"/>
          <w:snapToGrid w:val="0"/>
          <w:sz w:val="32"/>
          <w:szCs w:val="32"/>
        </w:rPr>
        <w:t>3</w:t>
      </w:r>
      <w:r>
        <w:rPr>
          <w:rFonts w:eastAsia="仿宋_GB2312" w:hint="eastAsia"/>
          <w:snapToGrid w:val="0"/>
          <w:sz w:val="32"/>
          <w:szCs w:val="32"/>
        </w:rPr>
        <w:t>万元，下降</w:t>
      </w:r>
      <w:r>
        <w:rPr>
          <w:rFonts w:eastAsia="仿宋_GB2312"/>
          <w:snapToGrid w:val="0"/>
          <w:sz w:val="32"/>
          <w:szCs w:val="32"/>
        </w:rPr>
        <w:t>15.8%</w:t>
      </w:r>
      <w:r>
        <w:rPr>
          <w:rFonts w:eastAsia="仿宋_GB2312"/>
          <w:snapToGrid w:val="0"/>
          <w:sz w:val="32"/>
          <w:szCs w:val="32"/>
        </w:rPr>
        <w:t>。</w:t>
      </w:r>
    </w:p>
    <w:p w:rsidR="00482C32" w:rsidRDefault="00482C32">
      <w:pPr>
        <w:snapToGrid w:val="0"/>
        <w:spacing w:line="240" w:lineRule="auto"/>
        <w:rPr>
          <w:rFonts w:eastAsia="仿宋_GB2312"/>
          <w:snapToGrid w:val="0"/>
          <w:sz w:val="32"/>
          <w:szCs w:val="32"/>
        </w:rPr>
      </w:pPr>
    </w:p>
    <w:p w:rsidR="00482C32" w:rsidRDefault="00BB3C22">
      <w:pPr>
        <w:snapToGrid w:val="0"/>
        <w:spacing w:line="240" w:lineRule="auto"/>
        <w:rPr>
          <w:rFonts w:eastAsia="仿宋_GB2312"/>
          <w:snapToGrid w:val="0"/>
          <w:sz w:val="32"/>
          <w:szCs w:val="32"/>
        </w:rPr>
      </w:pPr>
      <w:r w:rsidRPr="00954557">
        <w:rPr>
          <w:rFonts w:eastAsia="仿宋_GB2312"/>
          <w:snapToGrid w:val="0"/>
          <w:sz w:val="32"/>
          <w:szCs w:val="32"/>
        </w:rPr>
        <w:lastRenderedPageBreak/>
        <w:pict>
          <v:shape id="_x0000_i1026" type="#_x0000_t75" alt="002" style="width:414.75pt;height:312pt">
            <v:imagedata r:id="rId9" o:title="002"/>
          </v:shape>
        </w:pict>
      </w:r>
    </w:p>
    <w:p w:rsidR="00482C32" w:rsidRDefault="00482C32">
      <w:pPr>
        <w:snapToGrid w:val="0"/>
        <w:spacing w:line="240" w:lineRule="auto"/>
        <w:rPr>
          <w:rFonts w:eastAsia="仿宋_GB2312"/>
          <w:snapToGrid w:val="0"/>
          <w:sz w:val="32"/>
          <w:szCs w:val="32"/>
        </w:rPr>
      </w:pPr>
    </w:p>
    <w:p w:rsidR="00482C32" w:rsidRDefault="0018416B">
      <w:pPr>
        <w:snapToGrid w:val="0"/>
        <w:spacing w:line="579" w:lineRule="exact"/>
        <w:ind w:firstLineChars="200" w:firstLine="640"/>
        <w:rPr>
          <w:rFonts w:ascii="楷体_GB2312" w:eastAsia="楷体_GB2312"/>
          <w:snapToGrid w:val="0"/>
          <w:sz w:val="32"/>
          <w:szCs w:val="32"/>
        </w:rPr>
      </w:pPr>
      <w:r>
        <w:rPr>
          <w:rFonts w:ascii="楷体_GB2312" w:eastAsia="楷体_GB2312" w:hint="eastAsia"/>
          <w:snapToGrid w:val="0"/>
          <w:sz w:val="32"/>
          <w:szCs w:val="32"/>
        </w:rPr>
        <w:t>非税收入：</w:t>
      </w:r>
    </w:p>
    <w:p w:rsidR="00482C32" w:rsidRDefault="0018416B">
      <w:pPr>
        <w:snapToGrid w:val="0"/>
        <w:spacing w:line="592" w:lineRule="exact"/>
        <w:ind w:firstLineChars="200" w:firstLine="640"/>
        <w:rPr>
          <w:rFonts w:eastAsia="仿宋_GB2312"/>
          <w:snapToGrid w:val="0"/>
          <w:color w:val="000000"/>
          <w:spacing w:val="-2"/>
          <w:sz w:val="32"/>
          <w:szCs w:val="32"/>
        </w:rPr>
      </w:pPr>
      <w:r>
        <w:rPr>
          <w:rFonts w:eastAsia="仿宋_GB2312" w:cs="仿宋_GB2312" w:hint="eastAsia"/>
          <w:snapToGrid w:val="0"/>
          <w:sz w:val="32"/>
          <w:szCs w:val="32"/>
        </w:rPr>
        <w:t>专项收入完成</w:t>
      </w:r>
      <w:r>
        <w:rPr>
          <w:rFonts w:eastAsia="仿宋_GB2312"/>
          <w:snapToGrid w:val="0"/>
          <w:sz w:val="32"/>
          <w:szCs w:val="32"/>
        </w:rPr>
        <w:t>2009</w:t>
      </w:r>
      <w:r>
        <w:rPr>
          <w:rFonts w:eastAsia="仿宋_GB2312" w:cs="仿宋_GB2312" w:hint="eastAsia"/>
          <w:snapToGrid w:val="0"/>
          <w:sz w:val="32"/>
          <w:szCs w:val="32"/>
        </w:rPr>
        <w:t>万元，占调整预算的</w:t>
      </w:r>
      <w:r>
        <w:rPr>
          <w:rFonts w:eastAsia="仿宋_GB2312"/>
          <w:snapToGrid w:val="0"/>
          <w:sz w:val="32"/>
          <w:szCs w:val="32"/>
        </w:rPr>
        <w:t>100%</w:t>
      </w:r>
      <w:r>
        <w:rPr>
          <w:rFonts w:eastAsia="仿宋_GB2312" w:cs="仿宋_GB2312" w:hint="eastAsia"/>
          <w:snapToGrid w:val="0"/>
          <w:sz w:val="32"/>
          <w:szCs w:val="32"/>
        </w:rPr>
        <w:t>，较上年减收</w:t>
      </w:r>
      <w:r>
        <w:rPr>
          <w:rFonts w:eastAsia="仿宋_GB2312"/>
          <w:snapToGrid w:val="0"/>
          <w:sz w:val="32"/>
          <w:szCs w:val="32"/>
        </w:rPr>
        <w:t>149</w:t>
      </w:r>
      <w:r>
        <w:rPr>
          <w:rFonts w:eastAsia="仿宋_GB2312" w:cs="仿宋_GB2312" w:hint="eastAsia"/>
          <w:snapToGrid w:val="0"/>
          <w:sz w:val="32"/>
          <w:szCs w:val="32"/>
        </w:rPr>
        <w:t>万元，下降</w:t>
      </w:r>
      <w:r>
        <w:rPr>
          <w:rFonts w:eastAsia="仿宋_GB2312"/>
          <w:snapToGrid w:val="0"/>
          <w:sz w:val="32"/>
          <w:szCs w:val="32"/>
        </w:rPr>
        <w:t>6.9%</w:t>
      </w:r>
      <w:r>
        <w:rPr>
          <w:rFonts w:eastAsia="仿宋_GB2312" w:cs="仿宋_GB2312" w:hint="eastAsia"/>
          <w:snapToGrid w:val="0"/>
          <w:sz w:val="32"/>
          <w:szCs w:val="32"/>
        </w:rPr>
        <w:t>；行政事业性收费收入完成</w:t>
      </w:r>
      <w:r>
        <w:rPr>
          <w:rFonts w:eastAsia="仿宋_GB2312"/>
          <w:snapToGrid w:val="0"/>
          <w:sz w:val="32"/>
          <w:szCs w:val="32"/>
        </w:rPr>
        <w:t>324</w:t>
      </w:r>
      <w:r>
        <w:rPr>
          <w:rFonts w:eastAsia="仿宋_GB2312" w:cs="仿宋_GB2312" w:hint="eastAsia"/>
          <w:snapToGrid w:val="0"/>
          <w:sz w:val="32"/>
          <w:szCs w:val="32"/>
        </w:rPr>
        <w:t>万元，占调整预算的</w:t>
      </w:r>
      <w:r>
        <w:rPr>
          <w:rFonts w:eastAsia="仿宋_GB2312"/>
          <w:snapToGrid w:val="0"/>
          <w:sz w:val="32"/>
          <w:szCs w:val="32"/>
        </w:rPr>
        <w:t>100.3%</w:t>
      </w:r>
      <w:r>
        <w:rPr>
          <w:rFonts w:eastAsia="仿宋_GB2312" w:cs="仿宋_GB2312" w:hint="eastAsia"/>
          <w:snapToGrid w:val="0"/>
          <w:sz w:val="32"/>
          <w:szCs w:val="32"/>
        </w:rPr>
        <w:t>，较上年减收</w:t>
      </w:r>
      <w:r>
        <w:rPr>
          <w:rFonts w:eastAsia="仿宋_GB2312"/>
          <w:snapToGrid w:val="0"/>
          <w:sz w:val="32"/>
          <w:szCs w:val="32"/>
        </w:rPr>
        <w:t>286</w:t>
      </w:r>
      <w:r>
        <w:rPr>
          <w:rFonts w:eastAsia="仿宋_GB2312" w:cs="仿宋_GB2312" w:hint="eastAsia"/>
          <w:snapToGrid w:val="0"/>
          <w:sz w:val="32"/>
          <w:szCs w:val="32"/>
        </w:rPr>
        <w:t>万元，下降</w:t>
      </w:r>
      <w:r>
        <w:rPr>
          <w:rFonts w:eastAsia="仿宋_GB2312"/>
          <w:snapToGrid w:val="0"/>
          <w:sz w:val="32"/>
          <w:szCs w:val="32"/>
        </w:rPr>
        <w:t>46.9%</w:t>
      </w:r>
      <w:r>
        <w:rPr>
          <w:rFonts w:eastAsia="仿宋_GB2312" w:cs="仿宋_GB2312" w:hint="eastAsia"/>
          <w:snapToGrid w:val="0"/>
          <w:sz w:val="32"/>
          <w:szCs w:val="32"/>
        </w:rPr>
        <w:t>；罚没收入完成</w:t>
      </w:r>
      <w:r>
        <w:rPr>
          <w:rFonts w:eastAsia="仿宋_GB2312"/>
          <w:snapToGrid w:val="0"/>
          <w:sz w:val="32"/>
          <w:szCs w:val="32"/>
        </w:rPr>
        <w:t>1238</w:t>
      </w:r>
      <w:r>
        <w:rPr>
          <w:rFonts w:eastAsia="仿宋_GB2312" w:cs="仿宋_GB2312" w:hint="eastAsia"/>
          <w:snapToGrid w:val="0"/>
          <w:sz w:val="32"/>
          <w:szCs w:val="32"/>
        </w:rPr>
        <w:t>万元，占调整预算的</w:t>
      </w:r>
      <w:r>
        <w:rPr>
          <w:rFonts w:eastAsia="仿宋_GB2312"/>
          <w:snapToGrid w:val="0"/>
          <w:sz w:val="32"/>
          <w:szCs w:val="32"/>
        </w:rPr>
        <w:t>100.1%</w:t>
      </w:r>
      <w:r>
        <w:rPr>
          <w:rFonts w:eastAsia="仿宋_GB2312" w:cs="仿宋_GB2312" w:hint="eastAsia"/>
          <w:snapToGrid w:val="0"/>
          <w:sz w:val="32"/>
          <w:szCs w:val="32"/>
        </w:rPr>
        <w:t>，较上年增收</w:t>
      </w:r>
      <w:r>
        <w:rPr>
          <w:rFonts w:eastAsia="仿宋_GB2312"/>
          <w:snapToGrid w:val="0"/>
          <w:sz w:val="32"/>
          <w:szCs w:val="32"/>
        </w:rPr>
        <w:t>443</w:t>
      </w:r>
      <w:r>
        <w:rPr>
          <w:rFonts w:eastAsia="仿宋_GB2312" w:cs="仿宋_GB2312" w:hint="eastAsia"/>
          <w:snapToGrid w:val="0"/>
          <w:sz w:val="32"/>
          <w:szCs w:val="32"/>
        </w:rPr>
        <w:t>万元，增长</w:t>
      </w:r>
      <w:r>
        <w:rPr>
          <w:rFonts w:eastAsia="仿宋_GB2312"/>
          <w:snapToGrid w:val="0"/>
          <w:sz w:val="32"/>
          <w:szCs w:val="32"/>
        </w:rPr>
        <w:t>55.7%</w:t>
      </w:r>
      <w:r>
        <w:rPr>
          <w:rFonts w:eastAsia="仿宋_GB2312" w:cs="仿宋_GB2312" w:hint="eastAsia"/>
          <w:snapToGrid w:val="0"/>
          <w:sz w:val="32"/>
          <w:szCs w:val="32"/>
        </w:rPr>
        <w:t>；国有资源（资产）有偿使用收入完成</w:t>
      </w:r>
      <w:r>
        <w:rPr>
          <w:rFonts w:eastAsia="仿宋_GB2312"/>
          <w:snapToGrid w:val="0"/>
          <w:sz w:val="32"/>
          <w:szCs w:val="32"/>
        </w:rPr>
        <w:t>4352</w:t>
      </w:r>
      <w:r>
        <w:rPr>
          <w:rFonts w:eastAsia="仿宋_GB2312" w:cs="仿宋_GB2312" w:hint="eastAsia"/>
          <w:snapToGrid w:val="0"/>
          <w:sz w:val="32"/>
          <w:szCs w:val="32"/>
        </w:rPr>
        <w:t>万元，占调整预算的</w:t>
      </w:r>
      <w:r>
        <w:rPr>
          <w:rFonts w:eastAsia="仿宋_GB2312"/>
          <w:snapToGrid w:val="0"/>
          <w:sz w:val="32"/>
          <w:szCs w:val="32"/>
        </w:rPr>
        <w:t>100%</w:t>
      </w:r>
      <w:r>
        <w:rPr>
          <w:rFonts w:eastAsia="仿宋_GB2312" w:cs="仿宋_GB2312" w:hint="eastAsia"/>
          <w:snapToGrid w:val="0"/>
          <w:sz w:val="32"/>
          <w:szCs w:val="32"/>
        </w:rPr>
        <w:t>，较上年增收</w:t>
      </w:r>
      <w:r>
        <w:rPr>
          <w:rFonts w:eastAsia="仿宋_GB2312"/>
          <w:snapToGrid w:val="0"/>
          <w:sz w:val="32"/>
          <w:szCs w:val="32"/>
        </w:rPr>
        <w:t>3699</w:t>
      </w:r>
      <w:r>
        <w:rPr>
          <w:rFonts w:eastAsia="仿宋_GB2312" w:cs="仿宋_GB2312" w:hint="eastAsia"/>
          <w:snapToGrid w:val="0"/>
          <w:sz w:val="32"/>
          <w:szCs w:val="32"/>
        </w:rPr>
        <w:t>万元，增长</w:t>
      </w:r>
      <w:r>
        <w:rPr>
          <w:rFonts w:eastAsia="仿宋_GB2312"/>
          <w:snapToGrid w:val="0"/>
          <w:sz w:val="32"/>
          <w:szCs w:val="32"/>
        </w:rPr>
        <w:t>5.7</w:t>
      </w:r>
      <w:r>
        <w:rPr>
          <w:rFonts w:eastAsia="仿宋_GB2312" w:cs="仿宋_GB2312" w:hint="eastAsia"/>
          <w:snapToGrid w:val="0"/>
          <w:sz w:val="32"/>
          <w:szCs w:val="32"/>
        </w:rPr>
        <w:t>倍；政府住房基金收入完成</w:t>
      </w:r>
      <w:r>
        <w:rPr>
          <w:rFonts w:eastAsia="仿宋_GB2312"/>
          <w:snapToGrid w:val="0"/>
          <w:sz w:val="32"/>
          <w:szCs w:val="32"/>
        </w:rPr>
        <w:t>80</w:t>
      </w:r>
      <w:r>
        <w:rPr>
          <w:rFonts w:eastAsia="仿宋_GB2312" w:cs="仿宋_GB2312" w:hint="eastAsia"/>
          <w:snapToGrid w:val="0"/>
          <w:sz w:val="32"/>
          <w:szCs w:val="32"/>
        </w:rPr>
        <w:t>万元，占调整预算的</w:t>
      </w:r>
      <w:r>
        <w:rPr>
          <w:rFonts w:eastAsia="仿宋_GB2312"/>
          <w:snapToGrid w:val="0"/>
          <w:sz w:val="32"/>
          <w:szCs w:val="32"/>
        </w:rPr>
        <w:t>100%</w:t>
      </w:r>
      <w:r>
        <w:rPr>
          <w:rFonts w:eastAsia="仿宋_GB2312" w:cs="仿宋_GB2312" w:hint="eastAsia"/>
          <w:snapToGrid w:val="0"/>
          <w:sz w:val="32"/>
          <w:szCs w:val="32"/>
        </w:rPr>
        <w:t>，较上年增收</w:t>
      </w:r>
      <w:r>
        <w:rPr>
          <w:rFonts w:eastAsia="仿宋_GB2312"/>
          <w:snapToGrid w:val="0"/>
          <w:sz w:val="32"/>
          <w:szCs w:val="32"/>
        </w:rPr>
        <w:t>24</w:t>
      </w:r>
      <w:r>
        <w:rPr>
          <w:rFonts w:eastAsia="仿宋_GB2312" w:cs="仿宋_GB2312" w:hint="eastAsia"/>
          <w:snapToGrid w:val="0"/>
          <w:sz w:val="32"/>
          <w:szCs w:val="32"/>
        </w:rPr>
        <w:t>万元，增长</w:t>
      </w:r>
      <w:r>
        <w:rPr>
          <w:rFonts w:eastAsia="仿宋_GB2312"/>
          <w:snapToGrid w:val="0"/>
          <w:sz w:val="32"/>
          <w:szCs w:val="32"/>
        </w:rPr>
        <w:t>42.9%</w:t>
      </w:r>
      <w:r>
        <w:rPr>
          <w:rFonts w:eastAsia="仿宋_GB2312" w:cs="仿宋_GB2312" w:hint="eastAsia"/>
          <w:snapToGrid w:val="0"/>
          <w:sz w:val="32"/>
          <w:szCs w:val="32"/>
        </w:rPr>
        <w:t>。</w:t>
      </w:r>
    </w:p>
    <w:p w:rsidR="00482C32" w:rsidRDefault="00482C32" w:rsidP="00D93E5F">
      <w:pPr>
        <w:snapToGrid w:val="0"/>
        <w:spacing w:line="240" w:lineRule="auto"/>
        <w:ind w:firstLineChars="200" w:firstLine="640"/>
        <w:rPr>
          <w:rFonts w:eastAsia="仿宋_GB2312"/>
          <w:snapToGrid w:val="0"/>
          <w:sz w:val="32"/>
          <w:szCs w:val="32"/>
        </w:rPr>
      </w:pPr>
      <w:bookmarkStart w:id="0" w:name="_GoBack"/>
      <w:bookmarkEnd w:id="0"/>
    </w:p>
    <w:p w:rsidR="00D93E5F" w:rsidRDefault="00BB3C22" w:rsidP="00D93E5F">
      <w:pPr>
        <w:snapToGrid w:val="0"/>
        <w:spacing w:line="240" w:lineRule="auto"/>
        <w:jc w:val="center"/>
        <w:rPr>
          <w:rFonts w:eastAsia="仿宋_GB2312"/>
          <w:snapToGrid w:val="0"/>
          <w:sz w:val="32"/>
          <w:szCs w:val="32"/>
        </w:rPr>
      </w:pPr>
      <w:r w:rsidRPr="00954557">
        <w:rPr>
          <w:rFonts w:eastAsia="仿宋_GB2312"/>
          <w:snapToGrid w:val="0"/>
          <w:sz w:val="32"/>
          <w:szCs w:val="32"/>
        </w:rPr>
        <w:lastRenderedPageBreak/>
        <w:pict>
          <v:shape id="_x0000_i1027" type="#_x0000_t75" style="width:349.5pt;height:279.75pt">
            <v:imagedata r:id="rId10" o:title="1662363791687"/>
          </v:shape>
        </w:pict>
      </w:r>
    </w:p>
    <w:p w:rsidR="00482C32" w:rsidRDefault="0018416B">
      <w:pPr>
        <w:snapToGrid w:val="0"/>
        <w:spacing w:line="579" w:lineRule="exact"/>
        <w:ind w:firstLineChars="200" w:firstLine="640"/>
        <w:rPr>
          <w:rFonts w:ascii="黑体" w:eastAsia="黑体"/>
          <w:sz w:val="32"/>
          <w:szCs w:val="32"/>
        </w:rPr>
      </w:pPr>
      <w:r>
        <w:rPr>
          <w:rFonts w:ascii="黑体" w:eastAsia="黑体" w:hint="eastAsia"/>
          <w:sz w:val="32"/>
          <w:szCs w:val="32"/>
        </w:rPr>
        <w:t>非税收入相关政策：</w:t>
      </w:r>
    </w:p>
    <w:p w:rsidR="00482C32" w:rsidRDefault="0018416B">
      <w:pPr>
        <w:spacing w:line="600" w:lineRule="exact"/>
        <w:ind w:firstLine="640"/>
        <w:rPr>
          <w:rFonts w:eastAsia="仿宋_GB2312"/>
          <w:sz w:val="32"/>
          <w:szCs w:val="32"/>
        </w:rPr>
      </w:pPr>
      <w:r>
        <w:rPr>
          <w:rFonts w:ascii="楷体_GB2312" w:eastAsia="楷体_GB2312" w:hint="eastAsia"/>
          <w:sz w:val="32"/>
          <w:szCs w:val="32"/>
        </w:rPr>
        <w:t>专项收入：</w:t>
      </w:r>
      <w:r>
        <w:rPr>
          <w:rFonts w:eastAsia="仿宋_GB2312"/>
          <w:sz w:val="32"/>
          <w:szCs w:val="32"/>
        </w:rPr>
        <w:t>是指根据特定需要由国务院批准或者经国务院授权由财政部批准，设置、征集和纳入预算管理、有专门用途的收入。主要包括教育费附加收入</w:t>
      </w:r>
      <w:r>
        <w:rPr>
          <w:rFonts w:eastAsia="仿宋_GB2312" w:hint="eastAsia"/>
          <w:sz w:val="32"/>
          <w:szCs w:val="32"/>
        </w:rPr>
        <w:t>、地方教育附加收入、水利建设专项收入</w:t>
      </w:r>
      <w:r>
        <w:rPr>
          <w:rFonts w:eastAsia="仿宋_GB2312"/>
          <w:sz w:val="32"/>
          <w:szCs w:val="32"/>
        </w:rPr>
        <w:t>等。</w:t>
      </w:r>
    </w:p>
    <w:p w:rsidR="00482C32" w:rsidRDefault="0018416B">
      <w:pPr>
        <w:spacing w:line="600" w:lineRule="exact"/>
        <w:ind w:firstLine="640"/>
        <w:rPr>
          <w:rFonts w:eastAsia="仿宋_GB2312"/>
          <w:sz w:val="32"/>
          <w:szCs w:val="32"/>
          <w:u w:val="single"/>
        </w:rPr>
      </w:pPr>
      <w:r>
        <w:rPr>
          <w:rFonts w:ascii="楷体_GB2312" w:eastAsia="楷体_GB2312" w:hint="eastAsia"/>
          <w:sz w:val="32"/>
          <w:szCs w:val="32"/>
        </w:rPr>
        <w:t>行政事业性收费收入：</w:t>
      </w:r>
      <w:r>
        <w:rPr>
          <w:rFonts w:eastAsia="仿宋_GB2312"/>
          <w:sz w:val="32"/>
          <w:szCs w:val="32"/>
        </w:rPr>
        <w:t>反映依据法律、行政法规、国务院有关规定、国务院财政部门会同价格主管部门共同发布的规章或者规定以及省、自治区、直辖市的地方性法规、政府规章或者规定，省级财政部门会同价格主管部门共同发布的规定收取的各项收费收入。</w:t>
      </w:r>
    </w:p>
    <w:p w:rsidR="00482C32" w:rsidRDefault="0018416B">
      <w:pPr>
        <w:spacing w:line="600" w:lineRule="exact"/>
        <w:ind w:firstLine="640"/>
        <w:rPr>
          <w:rFonts w:eastAsia="仿宋_GB2312"/>
          <w:sz w:val="32"/>
          <w:szCs w:val="32"/>
        </w:rPr>
      </w:pPr>
      <w:r>
        <w:rPr>
          <w:rFonts w:ascii="楷体_GB2312" w:eastAsia="楷体_GB2312"/>
          <w:sz w:val="32"/>
          <w:szCs w:val="32"/>
        </w:rPr>
        <w:t>罚没收入：</w:t>
      </w:r>
      <w:r>
        <w:rPr>
          <w:rFonts w:eastAsia="仿宋_GB2312"/>
          <w:sz w:val="32"/>
          <w:szCs w:val="32"/>
        </w:rPr>
        <w:t>反映执法机关依法收缴的罚款（罚金）、没收款、赃款、没收物资、赃物的变价款收入，分为一般罚没收入、缉私罚没收入、和缉毒罚没收入三种。根据《甘肃省</w:t>
      </w:r>
      <w:r>
        <w:rPr>
          <w:rFonts w:eastAsia="仿宋_GB2312"/>
          <w:sz w:val="32"/>
          <w:szCs w:val="32"/>
        </w:rPr>
        <w:lastRenderedPageBreak/>
        <w:t>罚款没收财物管理办法》（甘肃省人民政府令第</w:t>
      </w:r>
      <w:r>
        <w:rPr>
          <w:rFonts w:eastAsia="仿宋_GB2312"/>
          <w:sz w:val="32"/>
          <w:szCs w:val="32"/>
        </w:rPr>
        <w:t>16</w:t>
      </w:r>
      <w:r>
        <w:rPr>
          <w:rFonts w:eastAsia="仿宋_GB2312"/>
          <w:sz w:val="32"/>
          <w:szCs w:val="32"/>
        </w:rPr>
        <w:t>号），省级有关部门及其直属的省级执法机构处以的罚没收入，全部上缴省级财政。公安、工商行政管理等部门缉查走私、贩私的罚没收入</w:t>
      </w:r>
      <w:r>
        <w:rPr>
          <w:rFonts w:eastAsia="仿宋_GB2312"/>
          <w:sz w:val="32"/>
          <w:szCs w:val="32"/>
        </w:rPr>
        <w:t>100%</w:t>
      </w:r>
      <w:r>
        <w:rPr>
          <w:rFonts w:eastAsia="仿宋_GB2312"/>
          <w:sz w:val="32"/>
          <w:szCs w:val="32"/>
        </w:rPr>
        <w:t>上缴中央财政。公安等部门收缴的缉毒罚没收入</w:t>
      </w:r>
      <w:r>
        <w:rPr>
          <w:rFonts w:eastAsia="仿宋_GB2312"/>
          <w:sz w:val="32"/>
          <w:szCs w:val="32"/>
        </w:rPr>
        <w:t>100%</w:t>
      </w:r>
      <w:r>
        <w:rPr>
          <w:rFonts w:eastAsia="仿宋_GB2312"/>
          <w:sz w:val="32"/>
          <w:szCs w:val="32"/>
        </w:rPr>
        <w:t>上缴省级财政。</w:t>
      </w:r>
    </w:p>
    <w:p w:rsidR="00482C32" w:rsidRDefault="0018416B">
      <w:pPr>
        <w:spacing w:line="600" w:lineRule="exact"/>
        <w:ind w:firstLine="640"/>
        <w:rPr>
          <w:rFonts w:eastAsia="仿宋_GB2312"/>
          <w:sz w:val="32"/>
          <w:szCs w:val="32"/>
        </w:rPr>
      </w:pPr>
      <w:r>
        <w:rPr>
          <w:rFonts w:ascii="楷体_GB2312" w:eastAsia="楷体_GB2312"/>
          <w:sz w:val="32"/>
          <w:szCs w:val="32"/>
        </w:rPr>
        <w:t>国有资本经营收入：</w:t>
      </w:r>
      <w:r>
        <w:rPr>
          <w:rFonts w:eastAsia="仿宋_GB2312"/>
          <w:sz w:val="32"/>
          <w:szCs w:val="32"/>
        </w:rPr>
        <w:t>反映各级人民政府及其部门、机构履行出资人职责的企业上缴的国有资本收益。有利润收入，股利、股息收入，产权转让收入，清算收入等。</w:t>
      </w:r>
    </w:p>
    <w:p w:rsidR="00482C32" w:rsidRDefault="0018416B">
      <w:pPr>
        <w:spacing w:line="600" w:lineRule="exact"/>
        <w:ind w:firstLine="640"/>
      </w:pPr>
      <w:r>
        <w:rPr>
          <w:rFonts w:ascii="楷体_GB2312" w:eastAsia="楷体_GB2312"/>
          <w:sz w:val="32"/>
          <w:szCs w:val="32"/>
        </w:rPr>
        <w:t>国有资源（资产）有偿使用收入：</w:t>
      </w:r>
      <w:r>
        <w:rPr>
          <w:rFonts w:eastAsia="仿宋_GB2312"/>
          <w:sz w:val="32"/>
          <w:szCs w:val="32"/>
        </w:rPr>
        <w:t>反映有偿转让国有资源</w:t>
      </w:r>
      <w:r>
        <w:rPr>
          <w:rFonts w:eastAsia="仿宋_GB2312"/>
          <w:sz w:val="32"/>
          <w:szCs w:val="32"/>
        </w:rPr>
        <w:t>(</w:t>
      </w:r>
      <w:r>
        <w:rPr>
          <w:rFonts w:eastAsia="仿宋_GB2312"/>
          <w:sz w:val="32"/>
          <w:szCs w:val="32"/>
        </w:rPr>
        <w:t>资产</w:t>
      </w:r>
      <w:r>
        <w:rPr>
          <w:rFonts w:eastAsia="仿宋_GB2312"/>
          <w:sz w:val="32"/>
          <w:szCs w:val="32"/>
        </w:rPr>
        <w:t>)</w:t>
      </w:r>
      <w:r>
        <w:rPr>
          <w:rFonts w:eastAsia="仿宋_GB2312"/>
          <w:sz w:val="32"/>
          <w:szCs w:val="32"/>
        </w:rPr>
        <w:t>使用权而取得的收入。主要有海域使用金收入、场地和矿区使用费收入、特种矿产品出售收入、专项储备物资销售收入、利息收入、非经营性国有资产经营收入、出租车经营权有偿出让和转让收入及其他国家资源</w:t>
      </w:r>
      <w:r>
        <w:rPr>
          <w:rFonts w:eastAsia="仿宋_GB2312"/>
          <w:sz w:val="32"/>
          <w:szCs w:val="32"/>
        </w:rPr>
        <w:t>(</w:t>
      </w:r>
      <w:r>
        <w:rPr>
          <w:rFonts w:eastAsia="仿宋_GB2312"/>
          <w:sz w:val="32"/>
          <w:szCs w:val="32"/>
        </w:rPr>
        <w:t>资产</w:t>
      </w:r>
      <w:r>
        <w:rPr>
          <w:rFonts w:eastAsia="仿宋_GB2312"/>
          <w:sz w:val="32"/>
          <w:szCs w:val="32"/>
        </w:rPr>
        <w:t>)</w:t>
      </w:r>
      <w:r>
        <w:rPr>
          <w:rFonts w:eastAsia="仿宋_GB2312"/>
          <w:sz w:val="32"/>
          <w:szCs w:val="32"/>
        </w:rPr>
        <w:t>有偿使用收入等。</w:t>
      </w:r>
    </w:p>
    <w:sectPr w:rsidR="00482C32" w:rsidSect="00482C32">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9D" w:rsidRDefault="0045359D">
      <w:pPr>
        <w:spacing w:line="240" w:lineRule="auto"/>
      </w:pPr>
      <w:r>
        <w:separator/>
      </w:r>
    </w:p>
  </w:endnote>
  <w:endnote w:type="continuationSeparator" w:id="1">
    <w:p w:rsidR="0045359D" w:rsidRDefault="004535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2" w:rsidRDefault="00954557">
    <w:pPr>
      <w:pStyle w:val="a5"/>
      <w:wordWrap w:val="0"/>
      <w:jc w:val="right"/>
      <w:rPr>
        <w:rFonts w:asciiTheme="minorEastAsia" w:eastAsiaTheme="minorEastAsia" w:hAnsiTheme="minorEastAsia"/>
        <w:sz w:val="28"/>
        <w:szCs w:val="28"/>
      </w:rPr>
    </w:pPr>
    <w:r w:rsidRPr="00954557">
      <w:rPr>
        <w:sz w:val="28"/>
      </w:rPr>
      <w:pict>
        <v:shapetype id="_x0000_t202" coordsize="21600,21600" o:spt="202" path="m,l,21600r21600,l21600,xe">
          <v:stroke joinstyle="miter"/>
          <v:path gradientshapeok="t" o:connecttype="rect"/>
        </v:shapetype>
        <v:shape id="_x0000_s4097" type="#_x0000_t202" style="position:absolute;left:0;text-align:left;margin-left:312pt;margin-top:0;width:2in;height:2in;z-index:1;mso-wrap-style:none;mso-position-horizontal:outside;mso-position-horizontal-relative:margin" filled="f" stroked="f">
          <v:textbox style="mso-fit-shape-to-text:t" inset="0,0,0,0">
            <w:txbxContent>
              <w:p w:rsidR="00482C32" w:rsidRDefault="0018416B">
                <w:pPr>
                  <w:pStyle w:val="a5"/>
                  <w:wordWrap w:val="0"/>
                  <w:jc w:val="right"/>
                </w:pPr>
                <w:r>
                  <w:rPr>
                    <w:rFonts w:ascii="宋体" w:hAnsi="宋体" w:hint="eastAsia"/>
                    <w:color w:val="FFFFFF"/>
                    <w:sz w:val="28"/>
                    <w:szCs w:val="28"/>
                  </w:rPr>
                  <w:t>—</w:t>
                </w:r>
                <w:r>
                  <w:rPr>
                    <w:rFonts w:ascii="宋体" w:hAnsi="宋体" w:hint="eastAsia"/>
                    <w:sz w:val="28"/>
                    <w:szCs w:val="28"/>
                  </w:rPr>
                  <w:t>—</w:t>
                </w:r>
                <w:r w:rsidR="00954557">
                  <w:rPr>
                    <w:rFonts w:ascii="宋体" w:hAnsi="宋体"/>
                    <w:sz w:val="28"/>
                    <w:szCs w:val="28"/>
                  </w:rPr>
                  <w:fldChar w:fldCharType="begin"/>
                </w:r>
                <w:r>
                  <w:rPr>
                    <w:rFonts w:ascii="宋体" w:hAnsi="宋体"/>
                    <w:sz w:val="28"/>
                    <w:szCs w:val="28"/>
                  </w:rPr>
                  <w:instrText xml:space="preserve"> PAGE   \* MERGEFORMAT </w:instrText>
                </w:r>
                <w:r w:rsidR="00954557">
                  <w:rPr>
                    <w:rFonts w:ascii="宋体" w:hAnsi="宋体"/>
                    <w:sz w:val="28"/>
                    <w:szCs w:val="28"/>
                  </w:rPr>
                  <w:fldChar w:fldCharType="separate"/>
                </w:r>
                <w:r w:rsidR="00BB3C22" w:rsidRPr="00BB3C22">
                  <w:rPr>
                    <w:rFonts w:ascii="宋体" w:hAnsi="宋体"/>
                    <w:noProof/>
                    <w:sz w:val="28"/>
                    <w:szCs w:val="28"/>
                    <w:lang w:val="zh-CN"/>
                  </w:rPr>
                  <w:t>1</w:t>
                </w:r>
                <w:r w:rsidR="00954557">
                  <w:rPr>
                    <w:rFonts w:ascii="宋体" w:hAnsi="宋体"/>
                    <w:sz w:val="28"/>
                    <w:szCs w:val="28"/>
                  </w:rPr>
                  <w:fldChar w:fldCharType="end"/>
                </w:r>
                <w:r>
                  <w:rPr>
                    <w:rFonts w:ascii="宋体" w:hAnsi="宋体" w:hint="eastAsia"/>
                    <w:sz w:val="28"/>
                    <w:szCs w:val="28"/>
                  </w:rPr>
                  <w:t>—</w:t>
                </w:r>
                <w:r>
                  <w:rPr>
                    <w:rFonts w:ascii="宋体" w:hAnsi="宋体" w:hint="eastAsia"/>
                    <w:color w:val="FFFFFF"/>
                    <w:sz w:val="28"/>
                    <w:szCs w:val="28"/>
                  </w:rPr>
                  <w:t>—</w:t>
                </w:r>
              </w:p>
            </w:txbxContent>
          </v:textbox>
          <w10:wrap anchorx="margin"/>
        </v:shape>
      </w:pict>
    </w:r>
  </w:p>
  <w:p w:rsidR="00482C32" w:rsidRDefault="00482C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9D" w:rsidRDefault="0045359D">
      <w:pPr>
        <w:spacing w:line="240" w:lineRule="auto"/>
      </w:pPr>
      <w:r>
        <w:separator/>
      </w:r>
    </w:p>
  </w:footnote>
  <w:footnote w:type="continuationSeparator" w:id="1">
    <w:p w:rsidR="0045359D" w:rsidRDefault="004535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32" w:rsidRDefault="00482C32">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RlNzBlODRlM2JmOTIzNzBhNmYzNGM2YmVkYmE2YzUifQ=="/>
  </w:docVars>
  <w:rsids>
    <w:rsidRoot w:val="00CE1DFF"/>
    <w:rsid w:val="00000830"/>
    <w:rsid w:val="00002AB6"/>
    <w:rsid w:val="00021433"/>
    <w:rsid w:val="00024315"/>
    <w:rsid w:val="00025387"/>
    <w:rsid w:val="00027F56"/>
    <w:rsid w:val="000350CF"/>
    <w:rsid w:val="00036A64"/>
    <w:rsid w:val="00040B71"/>
    <w:rsid w:val="00041878"/>
    <w:rsid w:val="000423D8"/>
    <w:rsid w:val="00042BCF"/>
    <w:rsid w:val="000435A4"/>
    <w:rsid w:val="00052A5A"/>
    <w:rsid w:val="00052DD9"/>
    <w:rsid w:val="000567DA"/>
    <w:rsid w:val="00061E25"/>
    <w:rsid w:val="0006415F"/>
    <w:rsid w:val="00067668"/>
    <w:rsid w:val="00070950"/>
    <w:rsid w:val="00074535"/>
    <w:rsid w:val="000755E2"/>
    <w:rsid w:val="0008305F"/>
    <w:rsid w:val="00087A73"/>
    <w:rsid w:val="00095843"/>
    <w:rsid w:val="000969B9"/>
    <w:rsid w:val="000A0FFA"/>
    <w:rsid w:val="000A3D60"/>
    <w:rsid w:val="000A49BC"/>
    <w:rsid w:val="000A58F7"/>
    <w:rsid w:val="000C0A77"/>
    <w:rsid w:val="000C23E8"/>
    <w:rsid w:val="000D1B9A"/>
    <w:rsid w:val="000D1FEC"/>
    <w:rsid w:val="000D205C"/>
    <w:rsid w:val="000E16C5"/>
    <w:rsid w:val="000E43D5"/>
    <w:rsid w:val="000E610C"/>
    <w:rsid w:val="000E6F61"/>
    <w:rsid w:val="000E7C67"/>
    <w:rsid w:val="000F1A9C"/>
    <w:rsid w:val="00111488"/>
    <w:rsid w:val="00113526"/>
    <w:rsid w:val="00116634"/>
    <w:rsid w:val="001201A2"/>
    <w:rsid w:val="00121401"/>
    <w:rsid w:val="001321F1"/>
    <w:rsid w:val="00135890"/>
    <w:rsid w:val="00137E4E"/>
    <w:rsid w:val="001447A7"/>
    <w:rsid w:val="00147A2A"/>
    <w:rsid w:val="001515E5"/>
    <w:rsid w:val="00152419"/>
    <w:rsid w:val="00155205"/>
    <w:rsid w:val="001600EB"/>
    <w:rsid w:val="001603F3"/>
    <w:rsid w:val="0016695D"/>
    <w:rsid w:val="001728B5"/>
    <w:rsid w:val="0017363F"/>
    <w:rsid w:val="00175279"/>
    <w:rsid w:val="00176334"/>
    <w:rsid w:val="0018416B"/>
    <w:rsid w:val="0019111C"/>
    <w:rsid w:val="0019204E"/>
    <w:rsid w:val="00192F2B"/>
    <w:rsid w:val="0019487C"/>
    <w:rsid w:val="00195E6A"/>
    <w:rsid w:val="0019709C"/>
    <w:rsid w:val="001A03CC"/>
    <w:rsid w:val="001A2FAB"/>
    <w:rsid w:val="001A3ADD"/>
    <w:rsid w:val="001B0C67"/>
    <w:rsid w:val="001B1387"/>
    <w:rsid w:val="001B14ED"/>
    <w:rsid w:val="001B406D"/>
    <w:rsid w:val="001B7711"/>
    <w:rsid w:val="001B7B59"/>
    <w:rsid w:val="001C2E3C"/>
    <w:rsid w:val="001C3CD5"/>
    <w:rsid w:val="001D2113"/>
    <w:rsid w:val="001D2B39"/>
    <w:rsid w:val="001D5BE5"/>
    <w:rsid w:val="001E04FF"/>
    <w:rsid w:val="001E467A"/>
    <w:rsid w:val="001E6FAB"/>
    <w:rsid w:val="001F22D0"/>
    <w:rsid w:val="001F6640"/>
    <w:rsid w:val="001F7E08"/>
    <w:rsid w:val="00204928"/>
    <w:rsid w:val="0020597D"/>
    <w:rsid w:val="00206004"/>
    <w:rsid w:val="00207AB1"/>
    <w:rsid w:val="00210496"/>
    <w:rsid w:val="00215A60"/>
    <w:rsid w:val="0022482E"/>
    <w:rsid w:val="0023089D"/>
    <w:rsid w:val="002373F2"/>
    <w:rsid w:val="00240CEB"/>
    <w:rsid w:val="00244557"/>
    <w:rsid w:val="00245379"/>
    <w:rsid w:val="002507AE"/>
    <w:rsid w:val="00252905"/>
    <w:rsid w:val="002536B1"/>
    <w:rsid w:val="0026064B"/>
    <w:rsid w:val="00261D29"/>
    <w:rsid w:val="00262607"/>
    <w:rsid w:val="00262A40"/>
    <w:rsid w:val="002650EE"/>
    <w:rsid w:val="00266307"/>
    <w:rsid w:val="00271389"/>
    <w:rsid w:val="0027353D"/>
    <w:rsid w:val="00274F46"/>
    <w:rsid w:val="00286204"/>
    <w:rsid w:val="002863F7"/>
    <w:rsid w:val="00292C78"/>
    <w:rsid w:val="002943FA"/>
    <w:rsid w:val="002A3466"/>
    <w:rsid w:val="002A6F3E"/>
    <w:rsid w:val="002B2DC2"/>
    <w:rsid w:val="002B3824"/>
    <w:rsid w:val="002C4B4E"/>
    <w:rsid w:val="002C5DC0"/>
    <w:rsid w:val="002D2871"/>
    <w:rsid w:val="002D7067"/>
    <w:rsid w:val="002E08EC"/>
    <w:rsid w:val="002E52B0"/>
    <w:rsid w:val="002E6FC9"/>
    <w:rsid w:val="002F04B5"/>
    <w:rsid w:val="0031302E"/>
    <w:rsid w:val="00313452"/>
    <w:rsid w:val="00322D65"/>
    <w:rsid w:val="00334C70"/>
    <w:rsid w:val="00336C32"/>
    <w:rsid w:val="00340BF5"/>
    <w:rsid w:val="00340D08"/>
    <w:rsid w:val="00343D55"/>
    <w:rsid w:val="0035194C"/>
    <w:rsid w:val="00354A87"/>
    <w:rsid w:val="00357162"/>
    <w:rsid w:val="00357A1E"/>
    <w:rsid w:val="003600FB"/>
    <w:rsid w:val="0036120F"/>
    <w:rsid w:val="00362197"/>
    <w:rsid w:val="0036376B"/>
    <w:rsid w:val="00366643"/>
    <w:rsid w:val="00366F40"/>
    <w:rsid w:val="003769E2"/>
    <w:rsid w:val="003804DB"/>
    <w:rsid w:val="003820FD"/>
    <w:rsid w:val="003836D6"/>
    <w:rsid w:val="003938E6"/>
    <w:rsid w:val="003956ED"/>
    <w:rsid w:val="003A1120"/>
    <w:rsid w:val="003A25B4"/>
    <w:rsid w:val="003A5E6D"/>
    <w:rsid w:val="003A6E4D"/>
    <w:rsid w:val="003B7381"/>
    <w:rsid w:val="003C2173"/>
    <w:rsid w:val="003C5055"/>
    <w:rsid w:val="003C791C"/>
    <w:rsid w:val="003E0DC1"/>
    <w:rsid w:val="003E751B"/>
    <w:rsid w:val="003F14B0"/>
    <w:rsid w:val="003F4F2B"/>
    <w:rsid w:val="003F5DD2"/>
    <w:rsid w:val="004002BA"/>
    <w:rsid w:val="00403FCC"/>
    <w:rsid w:val="0040536D"/>
    <w:rsid w:val="0040714C"/>
    <w:rsid w:val="0040750F"/>
    <w:rsid w:val="00411B8B"/>
    <w:rsid w:val="004159B7"/>
    <w:rsid w:val="00417643"/>
    <w:rsid w:val="00420916"/>
    <w:rsid w:val="00425BB9"/>
    <w:rsid w:val="00426737"/>
    <w:rsid w:val="004276AE"/>
    <w:rsid w:val="0044040B"/>
    <w:rsid w:val="0044109B"/>
    <w:rsid w:val="004465A8"/>
    <w:rsid w:val="0045359D"/>
    <w:rsid w:val="00454021"/>
    <w:rsid w:val="004618DD"/>
    <w:rsid w:val="00463099"/>
    <w:rsid w:val="00464B8F"/>
    <w:rsid w:val="004654EA"/>
    <w:rsid w:val="0047097A"/>
    <w:rsid w:val="00471617"/>
    <w:rsid w:val="00472E89"/>
    <w:rsid w:val="00476E04"/>
    <w:rsid w:val="0048035E"/>
    <w:rsid w:val="00481918"/>
    <w:rsid w:val="00482C32"/>
    <w:rsid w:val="0048314B"/>
    <w:rsid w:val="0048358A"/>
    <w:rsid w:val="004949ED"/>
    <w:rsid w:val="00496AAC"/>
    <w:rsid w:val="004A1EE9"/>
    <w:rsid w:val="004B1026"/>
    <w:rsid w:val="004B5551"/>
    <w:rsid w:val="004B636D"/>
    <w:rsid w:val="004B6FB1"/>
    <w:rsid w:val="004C3294"/>
    <w:rsid w:val="004D1577"/>
    <w:rsid w:val="004E4709"/>
    <w:rsid w:val="004E7188"/>
    <w:rsid w:val="005000DE"/>
    <w:rsid w:val="00500BF6"/>
    <w:rsid w:val="005019BE"/>
    <w:rsid w:val="00502995"/>
    <w:rsid w:val="0050480D"/>
    <w:rsid w:val="00504C79"/>
    <w:rsid w:val="00506666"/>
    <w:rsid w:val="005138F6"/>
    <w:rsid w:val="00514A2A"/>
    <w:rsid w:val="005165F8"/>
    <w:rsid w:val="00517560"/>
    <w:rsid w:val="00520AC5"/>
    <w:rsid w:val="0052194B"/>
    <w:rsid w:val="00523798"/>
    <w:rsid w:val="005327B8"/>
    <w:rsid w:val="005349BC"/>
    <w:rsid w:val="00534F1F"/>
    <w:rsid w:val="0053534D"/>
    <w:rsid w:val="0053713C"/>
    <w:rsid w:val="00541034"/>
    <w:rsid w:val="005431CB"/>
    <w:rsid w:val="00551757"/>
    <w:rsid w:val="005525A4"/>
    <w:rsid w:val="00552C1B"/>
    <w:rsid w:val="00554167"/>
    <w:rsid w:val="005608AC"/>
    <w:rsid w:val="00571CE1"/>
    <w:rsid w:val="00571FBD"/>
    <w:rsid w:val="00574B3B"/>
    <w:rsid w:val="00574EEA"/>
    <w:rsid w:val="0058219D"/>
    <w:rsid w:val="0058440A"/>
    <w:rsid w:val="00590101"/>
    <w:rsid w:val="00591A2B"/>
    <w:rsid w:val="005938BC"/>
    <w:rsid w:val="005958A1"/>
    <w:rsid w:val="005A0448"/>
    <w:rsid w:val="005A10DF"/>
    <w:rsid w:val="005A6A83"/>
    <w:rsid w:val="005B1459"/>
    <w:rsid w:val="005B14A6"/>
    <w:rsid w:val="005B2566"/>
    <w:rsid w:val="005B299B"/>
    <w:rsid w:val="005B5DCB"/>
    <w:rsid w:val="005C0232"/>
    <w:rsid w:val="005C0263"/>
    <w:rsid w:val="005C18D1"/>
    <w:rsid w:val="005C42BC"/>
    <w:rsid w:val="005D0DDE"/>
    <w:rsid w:val="005D1AD7"/>
    <w:rsid w:val="005D4043"/>
    <w:rsid w:val="005D67F3"/>
    <w:rsid w:val="005E108B"/>
    <w:rsid w:val="005E3DA8"/>
    <w:rsid w:val="005E6D5C"/>
    <w:rsid w:val="005F07A7"/>
    <w:rsid w:val="005F1114"/>
    <w:rsid w:val="005F3247"/>
    <w:rsid w:val="005F46EF"/>
    <w:rsid w:val="005F7CC7"/>
    <w:rsid w:val="0060342D"/>
    <w:rsid w:val="00604673"/>
    <w:rsid w:val="0060523C"/>
    <w:rsid w:val="00610823"/>
    <w:rsid w:val="0061442D"/>
    <w:rsid w:val="00617442"/>
    <w:rsid w:val="006212AD"/>
    <w:rsid w:val="00621718"/>
    <w:rsid w:val="00623BA8"/>
    <w:rsid w:val="00642F50"/>
    <w:rsid w:val="006448AC"/>
    <w:rsid w:val="0064543D"/>
    <w:rsid w:val="006502FC"/>
    <w:rsid w:val="00656820"/>
    <w:rsid w:val="006610C1"/>
    <w:rsid w:val="00664D63"/>
    <w:rsid w:val="006651A1"/>
    <w:rsid w:val="00666258"/>
    <w:rsid w:val="00672275"/>
    <w:rsid w:val="00672B4F"/>
    <w:rsid w:val="00674668"/>
    <w:rsid w:val="006751DA"/>
    <w:rsid w:val="00683AB4"/>
    <w:rsid w:val="006845A0"/>
    <w:rsid w:val="0068481E"/>
    <w:rsid w:val="0068540F"/>
    <w:rsid w:val="006872D3"/>
    <w:rsid w:val="00690067"/>
    <w:rsid w:val="00690314"/>
    <w:rsid w:val="00690D43"/>
    <w:rsid w:val="00692A81"/>
    <w:rsid w:val="00696F11"/>
    <w:rsid w:val="006A2681"/>
    <w:rsid w:val="006B02CB"/>
    <w:rsid w:val="006B15D0"/>
    <w:rsid w:val="006B5FB6"/>
    <w:rsid w:val="006B61B7"/>
    <w:rsid w:val="006B6798"/>
    <w:rsid w:val="006B6807"/>
    <w:rsid w:val="006C09A6"/>
    <w:rsid w:val="006C2B13"/>
    <w:rsid w:val="006D0778"/>
    <w:rsid w:val="006D4D83"/>
    <w:rsid w:val="006D763F"/>
    <w:rsid w:val="006E4812"/>
    <w:rsid w:val="006E61F0"/>
    <w:rsid w:val="006E6CC2"/>
    <w:rsid w:val="006F1B7E"/>
    <w:rsid w:val="006F1DC0"/>
    <w:rsid w:val="006F30B5"/>
    <w:rsid w:val="006F3DB8"/>
    <w:rsid w:val="006F4E62"/>
    <w:rsid w:val="00701E08"/>
    <w:rsid w:val="0070597C"/>
    <w:rsid w:val="00711151"/>
    <w:rsid w:val="007173BF"/>
    <w:rsid w:val="00723AD3"/>
    <w:rsid w:val="0072587E"/>
    <w:rsid w:val="00726D62"/>
    <w:rsid w:val="00731A37"/>
    <w:rsid w:val="0074133B"/>
    <w:rsid w:val="007448D3"/>
    <w:rsid w:val="007460F4"/>
    <w:rsid w:val="00747555"/>
    <w:rsid w:val="007645C9"/>
    <w:rsid w:val="00765058"/>
    <w:rsid w:val="00766241"/>
    <w:rsid w:val="00772E45"/>
    <w:rsid w:val="00777824"/>
    <w:rsid w:val="00777DB7"/>
    <w:rsid w:val="00780C04"/>
    <w:rsid w:val="00783770"/>
    <w:rsid w:val="00786B04"/>
    <w:rsid w:val="007910D9"/>
    <w:rsid w:val="00795EB3"/>
    <w:rsid w:val="007A4F9E"/>
    <w:rsid w:val="007B15DD"/>
    <w:rsid w:val="007B3A82"/>
    <w:rsid w:val="007B4289"/>
    <w:rsid w:val="007B5118"/>
    <w:rsid w:val="007D4307"/>
    <w:rsid w:val="007D5C03"/>
    <w:rsid w:val="007E3599"/>
    <w:rsid w:val="007E4994"/>
    <w:rsid w:val="007F63BE"/>
    <w:rsid w:val="00807AA0"/>
    <w:rsid w:val="00807D78"/>
    <w:rsid w:val="00811666"/>
    <w:rsid w:val="008125E4"/>
    <w:rsid w:val="00817642"/>
    <w:rsid w:val="00817E50"/>
    <w:rsid w:val="00820265"/>
    <w:rsid w:val="00836BFE"/>
    <w:rsid w:val="00854B0B"/>
    <w:rsid w:val="0085792D"/>
    <w:rsid w:val="008621DB"/>
    <w:rsid w:val="008661FB"/>
    <w:rsid w:val="00866EB0"/>
    <w:rsid w:val="008714D0"/>
    <w:rsid w:val="00877C01"/>
    <w:rsid w:val="0088060F"/>
    <w:rsid w:val="00885CFD"/>
    <w:rsid w:val="00886B30"/>
    <w:rsid w:val="008876B5"/>
    <w:rsid w:val="00892535"/>
    <w:rsid w:val="00892FC5"/>
    <w:rsid w:val="008A5F89"/>
    <w:rsid w:val="008B1B20"/>
    <w:rsid w:val="008B5E4F"/>
    <w:rsid w:val="008C4D08"/>
    <w:rsid w:val="008D0D8C"/>
    <w:rsid w:val="008D4BC6"/>
    <w:rsid w:val="008E29DE"/>
    <w:rsid w:val="008E35E7"/>
    <w:rsid w:val="008E5745"/>
    <w:rsid w:val="008E6BA3"/>
    <w:rsid w:val="008F5D35"/>
    <w:rsid w:val="008F766D"/>
    <w:rsid w:val="00903306"/>
    <w:rsid w:val="009058CB"/>
    <w:rsid w:val="00906353"/>
    <w:rsid w:val="00910C03"/>
    <w:rsid w:val="009114E1"/>
    <w:rsid w:val="00914BF7"/>
    <w:rsid w:val="00915765"/>
    <w:rsid w:val="00917706"/>
    <w:rsid w:val="00917A19"/>
    <w:rsid w:val="00917DB6"/>
    <w:rsid w:val="00920B5A"/>
    <w:rsid w:val="009265CD"/>
    <w:rsid w:val="00936757"/>
    <w:rsid w:val="00937BC1"/>
    <w:rsid w:val="00947466"/>
    <w:rsid w:val="009538C7"/>
    <w:rsid w:val="00954557"/>
    <w:rsid w:val="00961A38"/>
    <w:rsid w:val="009669CB"/>
    <w:rsid w:val="00970135"/>
    <w:rsid w:val="00971E64"/>
    <w:rsid w:val="009744A6"/>
    <w:rsid w:val="009774C5"/>
    <w:rsid w:val="00981289"/>
    <w:rsid w:val="009814EF"/>
    <w:rsid w:val="009839EC"/>
    <w:rsid w:val="00984B88"/>
    <w:rsid w:val="009953D0"/>
    <w:rsid w:val="009A04EA"/>
    <w:rsid w:val="009A0600"/>
    <w:rsid w:val="009A1D24"/>
    <w:rsid w:val="009A2061"/>
    <w:rsid w:val="009A2AC3"/>
    <w:rsid w:val="009B2213"/>
    <w:rsid w:val="009B2D8E"/>
    <w:rsid w:val="009C35B3"/>
    <w:rsid w:val="009C71DC"/>
    <w:rsid w:val="009C7489"/>
    <w:rsid w:val="009D3F32"/>
    <w:rsid w:val="009E0685"/>
    <w:rsid w:val="009E572E"/>
    <w:rsid w:val="009F263D"/>
    <w:rsid w:val="00A016ED"/>
    <w:rsid w:val="00A02710"/>
    <w:rsid w:val="00A03914"/>
    <w:rsid w:val="00A05F4B"/>
    <w:rsid w:val="00A11198"/>
    <w:rsid w:val="00A125B0"/>
    <w:rsid w:val="00A138DF"/>
    <w:rsid w:val="00A15BE2"/>
    <w:rsid w:val="00A15DB6"/>
    <w:rsid w:val="00A21CA7"/>
    <w:rsid w:val="00A221C4"/>
    <w:rsid w:val="00A25B60"/>
    <w:rsid w:val="00A268F4"/>
    <w:rsid w:val="00A35765"/>
    <w:rsid w:val="00A36362"/>
    <w:rsid w:val="00A5548B"/>
    <w:rsid w:val="00A55724"/>
    <w:rsid w:val="00A62B67"/>
    <w:rsid w:val="00A63099"/>
    <w:rsid w:val="00A66E39"/>
    <w:rsid w:val="00A7173E"/>
    <w:rsid w:val="00A73E0D"/>
    <w:rsid w:val="00A74C35"/>
    <w:rsid w:val="00A7711E"/>
    <w:rsid w:val="00A7779F"/>
    <w:rsid w:val="00A82685"/>
    <w:rsid w:val="00A8413C"/>
    <w:rsid w:val="00A903AE"/>
    <w:rsid w:val="00A9216D"/>
    <w:rsid w:val="00A92FC3"/>
    <w:rsid w:val="00A95842"/>
    <w:rsid w:val="00A9594F"/>
    <w:rsid w:val="00AB0EBA"/>
    <w:rsid w:val="00AC47E1"/>
    <w:rsid w:val="00AD2E8F"/>
    <w:rsid w:val="00AD3564"/>
    <w:rsid w:val="00AD584C"/>
    <w:rsid w:val="00AE02F5"/>
    <w:rsid w:val="00AE1195"/>
    <w:rsid w:val="00AE1AA0"/>
    <w:rsid w:val="00AE3F26"/>
    <w:rsid w:val="00AF293A"/>
    <w:rsid w:val="00AF2A66"/>
    <w:rsid w:val="00B00131"/>
    <w:rsid w:val="00B055AD"/>
    <w:rsid w:val="00B05A4C"/>
    <w:rsid w:val="00B21812"/>
    <w:rsid w:val="00B21EAE"/>
    <w:rsid w:val="00B23485"/>
    <w:rsid w:val="00B2587D"/>
    <w:rsid w:val="00B31F71"/>
    <w:rsid w:val="00B330E0"/>
    <w:rsid w:val="00B40696"/>
    <w:rsid w:val="00B44100"/>
    <w:rsid w:val="00B4623E"/>
    <w:rsid w:val="00B50057"/>
    <w:rsid w:val="00B50790"/>
    <w:rsid w:val="00B528B2"/>
    <w:rsid w:val="00B52ECF"/>
    <w:rsid w:val="00B55656"/>
    <w:rsid w:val="00B57456"/>
    <w:rsid w:val="00B6150B"/>
    <w:rsid w:val="00B647FB"/>
    <w:rsid w:val="00B7049B"/>
    <w:rsid w:val="00B718AC"/>
    <w:rsid w:val="00B74675"/>
    <w:rsid w:val="00B822B8"/>
    <w:rsid w:val="00B82EAD"/>
    <w:rsid w:val="00B870F7"/>
    <w:rsid w:val="00B9151B"/>
    <w:rsid w:val="00B920EE"/>
    <w:rsid w:val="00B92C37"/>
    <w:rsid w:val="00BA03FC"/>
    <w:rsid w:val="00BA1AA0"/>
    <w:rsid w:val="00BB3C22"/>
    <w:rsid w:val="00BC0D67"/>
    <w:rsid w:val="00BC21B2"/>
    <w:rsid w:val="00BC4567"/>
    <w:rsid w:val="00BC5C99"/>
    <w:rsid w:val="00BD1DAD"/>
    <w:rsid w:val="00BD2155"/>
    <w:rsid w:val="00BD65E4"/>
    <w:rsid w:val="00BD76A5"/>
    <w:rsid w:val="00BE1BB4"/>
    <w:rsid w:val="00BE4A50"/>
    <w:rsid w:val="00BF57D8"/>
    <w:rsid w:val="00BF5AAF"/>
    <w:rsid w:val="00BF5C87"/>
    <w:rsid w:val="00C06FC8"/>
    <w:rsid w:val="00C12C8C"/>
    <w:rsid w:val="00C20EEF"/>
    <w:rsid w:val="00C2516E"/>
    <w:rsid w:val="00C25C75"/>
    <w:rsid w:val="00C336C1"/>
    <w:rsid w:val="00C356F5"/>
    <w:rsid w:val="00C47598"/>
    <w:rsid w:val="00C52679"/>
    <w:rsid w:val="00C6171D"/>
    <w:rsid w:val="00C61BE3"/>
    <w:rsid w:val="00C667A4"/>
    <w:rsid w:val="00C72B8E"/>
    <w:rsid w:val="00C73AB3"/>
    <w:rsid w:val="00C834F3"/>
    <w:rsid w:val="00C877FA"/>
    <w:rsid w:val="00C914C8"/>
    <w:rsid w:val="00C92F75"/>
    <w:rsid w:val="00CA38A1"/>
    <w:rsid w:val="00CA5273"/>
    <w:rsid w:val="00CA7ADD"/>
    <w:rsid w:val="00CA7BF9"/>
    <w:rsid w:val="00CB00D7"/>
    <w:rsid w:val="00CB07CD"/>
    <w:rsid w:val="00CB5AA4"/>
    <w:rsid w:val="00CC0721"/>
    <w:rsid w:val="00CC54EB"/>
    <w:rsid w:val="00CD28ED"/>
    <w:rsid w:val="00CD7713"/>
    <w:rsid w:val="00CE1DFF"/>
    <w:rsid w:val="00CE62EE"/>
    <w:rsid w:val="00CE635B"/>
    <w:rsid w:val="00CF446C"/>
    <w:rsid w:val="00D02F9F"/>
    <w:rsid w:val="00D0455B"/>
    <w:rsid w:val="00D04827"/>
    <w:rsid w:val="00D10A4F"/>
    <w:rsid w:val="00D16684"/>
    <w:rsid w:val="00D2015C"/>
    <w:rsid w:val="00D24AFD"/>
    <w:rsid w:val="00D24F6D"/>
    <w:rsid w:val="00D27699"/>
    <w:rsid w:val="00D30D6A"/>
    <w:rsid w:val="00D31CA5"/>
    <w:rsid w:val="00D365B7"/>
    <w:rsid w:val="00D36B8A"/>
    <w:rsid w:val="00D408D7"/>
    <w:rsid w:val="00D42E94"/>
    <w:rsid w:val="00D435B4"/>
    <w:rsid w:val="00D50224"/>
    <w:rsid w:val="00D50EF6"/>
    <w:rsid w:val="00D517C8"/>
    <w:rsid w:val="00D5362A"/>
    <w:rsid w:val="00D5436A"/>
    <w:rsid w:val="00D554CD"/>
    <w:rsid w:val="00D62FC0"/>
    <w:rsid w:val="00D643B5"/>
    <w:rsid w:val="00D65336"/>
    <w:rsid w:val="00D678C0"/>
    <w:rsid w:val="00D72B64"/>
    <w:rsid w:val="00D775B9"/>
    <w:rsid w:val="00D81623"/>
    <w:rsid w:val="00D821D5"/>
    <w:rsid w:val="00D93E5F"/>
    <w:rsid w:val="00D945CD"/>
    <w:rsid w:val="00D96003"/>
    <w:rsid w:val="00DA05BC"/>
    <w:rsid w:val="00DA20A4"/>
    <w:rsid w:val="00DA4FA8"/>
    <w:rsid w:val="00DB1709"/>
    <w:rsid w:val="00DB5161"/>
    <w:rsid w:val="00DB59DA"/>
    <w:rsid w:val="00DC376F"/>
    <w:rsid w:val="00DC759B"/>
    <w:rsid w:val="00DD2F30"/>
    <w:rsid w:val="00DE0852"/>
    <w:rsid w:val="00DE347B"/>
    <w:rsid w:val="00DE4D14"/>
    <w:rsid w:val="00DF1AC0"/>
    <w:rsid w:val="00DF5208"/>
    <w:rsid w:val="00DF5B75"/>
    <w:rsid w:val="00DF6D50"/>
    <w:rsid w:val="00E14421"/>
    <w:rsid w:val="00E15FB0"/>
    <w:rsid w:val="00E20449"/>
    <w:rsid w:val="00E21B32"/>
    <w:rsid w:val="00E21BE1"/>
    <w:rsid w:val="00E228EC"/>
    <w:rsid w:val="00E24113"/>
    <w:rsid w:val="00E26B08"/>
    <w:rsid w:val="00E27648"/>
    <w:rsid w:val="00E31C30"/>
    <w:rsid w:val="00E33C95"/>
    <w:rsid w:val="00E40A5D"/>
    <w:rsid w:val="00E430E8"/>
    <w:rsid w:val="00E50DF1"/>
    <w:rsid w:val="00E512AB"/>
    <w:rsid w:val="00E601C4"/>
    <w:rsid w:val="00E62296"/>
    <w:rsid w:val="00E71965"/>
    <w:rsid w:val="00E94A41"/>
    <w:rsid w:val="00E95543"/>
    <w:rsid w:val="00EB6898"/>
    <w:rsid w:val="00EC335C"/>
    <w:rsid w:val="00EC540F"/>
    <w:rsid w:val="00EC7A82"/>
    <w:rsid w:val="00ED166E"/>
    <w:rsid w:val="00ED1819"/>
    <w:rsid w:val="00ED6CD7"/>
    <w:rsid w:val="00EE3823"/>
    <w:rsid w:val="00EE569B"/>
    <w:rsid w:val="00EE72D8"/>
    <w:rsid w:val="00EE76FB"/>
    <w:rsid w:val="00EF6A25"/>
    <w:rsid w:val="00F00B0B"/>
    <w:rsid w:val="00F0529E"/>
    <w:rsid w:val="00F161D9"/>
    <w:rsid w:val="00F16B8F"/>
    <w:rsid w:val="00F16C44"/>
    <w:rsid w:val="00F20016"/>
    <w:rsid w:val="00F24C9E"/>
    <w:rsid w:val="00F326EB"/>
    <w:rsid w:val="00F335A0"/>
    <w:rsid w:val="00F33678"/>
    <w:rsid w:val="00F33A9F"/>
    <w:rsid w:val="00F51409"/>
    <w:rsid w:val="00F55909"/>
    <w:rsid w:val="00F55ED1"/>
    <w:rsid w:val="00F56DE7"/>
    <w:rsid w:val="00F57B9A"/>
    <w:rsid w:val="00F6226A"/>
    <w:rsid w:val="00F62D5C"/>
    <w:rsid w:val="00F65E2C"/>
    <w:rsid w:val="00F673F7"/>
    <w:rsid w:val="00F73642"/>
    <w:rsid w:val="00F76D20"/>
    <w:rsid w:val="00F81927"/>
    <w:rsid w:val="00F83419"/>
    <w:rsid w:val="00F878AD"/>
    <w:rsid w:val="00F91B00"/>
    <w:rsid w:val="00FA25A8"/>
    <w:rsid w:val="00FB2180"/>
    <w:rsid w:val="00FC1B89"/>
    <w:rsid w:val="00FC2503"/>
    <w:rsid w:val="00FD1C26"/>
    <w:rsid w:val="00FD1D80"/>
    <w:rsid w:val="00FD26B9"/>
    <w:rsid w:val="00FD5BA0"/>
    <w:rsid w:val="00FD6C18"/>
    <w:rsid w:val="00FF01CA"/>
    <w:rsid w:val="00FF156A"/>
    <w:rsid w:val="017A0292"/>
    <w:rsid w:val="07BA41AB"/>
    <w:rsid w:val="0ABC5CFA"/>
    <w:rsid w:val="0EDD798F"/>
    <w:rsid w:val="115C2A69"/>
    <w:rsid w:val="15C34AB0"/>
    <w:rsid w:val="16FE695D"/>
    <w:rsid w:val="299D56B1"/>
    <w:rsid w:val="2B970A91"/>
    <w:rsid w:val="33C22B68"/>
    <w:rsid w:val="343958F2"/>
    <w:rsid w:val="47A30A79"/>
    <w:rsid w:val="4C4B0C4C"/>
    <w:rsid w:val="4CC0376C"/>
    <w:rsid w:val="4F6469AA"/>
    <w:rsid w:val="5722656D"/>
    <w:rsid w:val="63C603A2"/>
    <w:rsid w:val="66D16790"/>
    <w:rsid w:val="6AEB37A3"/>
    <w:rsid w:val="6D3056A3"/>
    <w:rsid w:val="701804B2"/>
    <w:rsid w:val="71593AF3"/>
    <w:rsid w:val="79585AEB"/>
    <w:rsid w:val="7A176699"/>
    <w:rsid w:val="7BF96BD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32"/>
    <w:pPr>
      <w:widowControl w:val="0"/>
      <w:adjustRightInd w:val="0"/>
      <w:spacing w:line="312" w:lineRule="atLeast"/>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482C32"/>
    <w:pPr>
      <w:adjustRightInd/>
      <w:spacing w:line="240" w:lineRule="auto"/>
    </w:pPr>
    <w:rPr>
      <w:rFonts w:ascii="宋体" w:hAnsi="Courier New" w:cs="宋体"/>
      <w:kern w:val="2"/>
    </w:rPr>
  </w:style>
  <w:style w:type="paragraph" w:styleId="a4">
    <w:name w:val="Balloon Text"/>
    <w:basedOn w:val="a"/>
    <w:link w:val="Char0"/>
    <w:uiPriority w:val="99"/>
    <w:semiHidden/>
    <w:qFormat/>
    <w:rsid w:val="00482C32"/>
    <w:pPr>
      <w:spacing w:line="240" w:lineRule="auto"/>
    </w:pPr>
    <w:rPr>
      <w:sz w:val="18"/>
      <w:szCs w:val="18"/>
    </w:rPr>
  </w:style>
  <w:style w:type="paragraph" w:styleId="a5">
    <w:name w:val="footer"/>
    <w:basedOn w:val="a"/>
    <w:link w:val="Char1"/>
    <w:uiPriority w:val="99"/>
    <w:qFormat/>
    <w:rsid w:val="00482C32"/>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semiHidden/>
    <w:qFormat/>
    <w:rsid w:val="00482C3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纯文本 Char"/>
    <w:basedOn w:val="a0"/>
    <w:link w:val="a3"/>
    <w:uiPriority w:val="99"/>
    <w:qFormat/>
    <w:locked/>
    <w:rsid w:val="00482C32"/>
    <w:rPr>
      <w:rFonts w:ascii="宋体" w:eastAsia="宋体" w:hAnsi="Courier New" w:cs="宋体"/>
      <w:sz w:val="20"/>
      <w:szCs w:val="20"/>
    </w:rPr>
  </w:style>
  <w:style w:type="character" w:customStyle="1" w:styleId="Char2">
    <w:name w:val="页眉 Char"/>
    <w:basedOn w:val="a0"/>
    <w:link w:val="a6"/>
    <w:uiPriority w:val="99"/>
    <w:semiHidden/>
    <w:qFormat/>
    <w:locked/>
    <w:rsid w:val="00482C32"/>
    <w:rPr>
      <w:rFonts w:ascii="Times New Roman" w:eastAsia="宋体" w:hAnsi="Times New Roman" w:cs="Times New Roman"/>
      <w:kern w:val="0"/>
      <w:sz w:val="18"/>
      <w:szCs w:val="18"/>
    </w:rPr>
  </w:style>
  <w:style w:type="character" w:customStyle="1" w:styleId="Char1">
    <w:name w:val="页脚 Char"/>
    <w:basedOn w:val="a0"/>
    <w:link w:val="a5"/>
    <w:uiPriority w:val="99"/>
    <w:qFormat/>
    <w:locked/>
    <w:rsid w:val="00482C32"/>
    <w:rPr>
      <w:rFonts w:ascii="Times New Roman" w:eastAsia="宋体" w:hAnsi="Times New Roman" w:cs="Times New Roman"/>
      <w:kern w:val="0"/>
      <w:sz w:val="18"/>
      <w:szCs w:val="18"/>
    </w:rPr>
  </w:style>
  <w:style w:type="character" w:customStyle="1" w:styleId="Char0">
    <w:name w:val="批注框文本 Char"/>
    <w:basedOn w:val="a0"/>
    <w:link w:val="a4"/>
    <w:uiPriority w:val="99"/>
    <w:semiHidden/>
    <w:qFormat/>
    <w:locked/>
    <w:rsid w:val="00482C32"/>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D61050FF-92B3-47F3-888C-61BA8C028F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240</Words>
  <Characters>1373</Characters>
  <Application>Microsoft Office Word</Application>
  <DocSecurity>0</DocSecurity>
  <Lines>11</Lines>
  <Paragraphs>3</Paragraphs>
  <ScaleCrop>false</ScaleCrop>
  <Company>中国仙剑音乐网</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关于2016年省级一般公共预算收入决算的说明</dc:title>
  <dc:creator>牛嘉丽</dc:creator>
  <cp:lastModifiedBy>l</cp:lastModifiedBy>
  <cp:revision>46</cp:revision>
  <cp:lastPrinted>2022-09-09T01:38:00Z</cp:lastPrinted>
  <dcterms:created xsi:type="dcterms:W3CDTF">2017-09-12T01:23:00Z</dcterms:created>
  <dcterms:modified xsi:type="dcterms:W3CDTF">2022-09-09T01:39:00Z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F1DB266827904D82A6DA963D7CCD3BF4</vt:lpwstr>
  </property>
</Properties>
</file>