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jc w:val="center"/>
        <w:rPr>
          <w:rFonts w:eastAsia="方正大标宋简体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579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主要名词解释</w:t>
      </w:r>
    </w:p>
    <w:p>
      <w:pPr>
        <w:adjustRightInd w:val="0"/>
        <w:snapToGrid w:val="0"/>
        <w:spacing w:line="579" w:lineRule="exact"/>
        <w:jc w:val="center"/>
        <w:rPr>
          <w:rFonts w:eastAsia="方正大标宋简体"/>
          <w:snapToGrid w:val="0"/>
          <w:kern w:val="0"/>
          <w:sz w:val="36"/>
          <w:szCs w:val="36"/>
        </w:rPr>
      </w:pPr>
    </w:p>
    <w:p>
      <w:pPr>
        <w:adjustRightInd w:val="0"/>
        <w:snapToGrid w:val="0"/>
        <w:spacing w:line="579" w:lineRule="exact"/>
        <w:ind w:firstLine="643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楷体_GB2312"/>
          <w:b/>
          <w:bCs/>
          <w:snapToGrid w:val="0"/>
          <w:kern w:val="0"/>
          <w:sz w:val="32"/>
          <w:szCs w:val="32"/>
        </w:rPr>
        <w:t>1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.</w:t>
      </w:r>
      <w:r>
        <w:rPr>
          <w:rFonts w:eastAsia="楷体_GB2312"/>
          <w:b/>
          <w:bCs/>
          <w:snapToGrid w:val="0"/>
          <w:kern w:val="0"/>
          <w:sz w:val="32"/>
          <w:szCs w:val="32"/>
        </w:rPr>
        <w:t>一般公共预算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。</w:t>
      </w:r>
      <w:r>
        <w:rPr>
          <w:rFonts w:eastAsia="仿宋_GB2312"/>
          <w:snapToGrid w:val="0"/>
          <w:kern w:val="0"/>
          <w:sz w:val="32"/>
          <w:szCs w:val="32"/>
        </w:rPr>
        <w:t>指以税收为主体的财政收入，安排用于保障和改善民生、推动经济社会发展、维护国家安全、维持国家机构正常运转等方面的收支预算。透过一般公共预算，可以使人们了解政府活动的范围和方向，也可以体现政府政策意图和目标。</w:t>
      </w:r>
    </w:p>
    <w:p>
      <w:pPr>
        <w:adjustRightInd w:val="0"/>
        <w:snapToGrid w:val="0"/>
        <w:spacing w:line="579" w:lineRule="exact"/>
        <w:ind w:firstLine="643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楷体_GB2312"/>
          <w:b/>
          <w:bCs/>
          <w:snapToGrid w:val="0"/>
          <w:kern w:val="0"/>
          <w:sz w:val="32"/>
          <w:szCs w:val="32"/>
        </w:rPr>
        <w:t>2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.</w:t>
      </w:r>
      <w:r>
        <w:rPr>
          <w:rFonts w:eastAsia="楷体_GB2312"/>
          <w:b/>
          <w:bCs/>
          <w:snapToGrid w:val="0"/>
          <w:kern w:val="0"/>
          <w:sz w:val="32"/>
          <w:szCs w:val="32"/>
        </w:rPr>
        <w:t>政府性基金预算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。</w:t>
      </w:r>
      <w:r>
        <w:rPr>
          <w:rFonts w:eastAsia="仿宋_GB2312"/>
          <w:snapToGrid w:val="0"/>
          <w:kern w:val="0"/>
          <w:sz w:val="32"/>
          <w:szCs w:val="32"/>
        </w:rPr>
        <w:t>指国家对依照法律、行政法规的规定在一定期限内向特定对象征收、收取或者以出让土地、发行彩票等其他方式筹集的资金，专项用于特定公共事业发展的收支预算。</w:t>
      </w:r>
    </w:p>
    <w:p>
      <w:pPr>
        <w:adjustRightInd w:val="0"/>
        <w:snapToGrid w:val="0"/>
        <w:spacing w:line="579" w:lineRule="exact"/>
        <w:ind w:firstLine="643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楷体_GB2312"/>
          <w:b/>
          <w:bCs/>
          <w:snapToGrid w:val="0"/>
          <w:kern w:val="0"/>
          <w:sz w:val="32"/>
          <w:szCs w:val="32"/>
        </w:rPr>
        <w:t>3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.</w:t>
      </w:r>
      <w:r>
        <w:rPr>
          <w:rFonts w:eastAsia="楷体_GB2312"/>
          <w:b/>
          <w:bCs/>
          <w:snapToGrid w:val="0"/>
          <w:kern w:val="0"/>
          <w:sz w:val="32"/>
          <w:szCs w:val="32"/>
        </w:rPr>
        <w:t>社会保险基金预算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。</w:t>
      </w:r>
      <w:r>
        <w:rPr>
          <w:rFonts w:eastAsia="仿宋_GB2312"/>
          <w:snapToGrid w:val="0"/>
          <w:kern w:val="0"/>
          <w:sz w:val="32"/>
          <w:szCs w:val="32"/>
        </w:rPr>
        <w:t>是根据国家社会保险和预算管理法律法规建立，对社会保险缴款、一般公共预算安排和其他方式筹集的资金，专项用于社会保险的收支预算。社会保险基金预算按照统筹层次和社会保险项目分别编制，包括基本养老保险基金、失业保险基金、基本医疗保险基金、工伤保险基金、生育保险基金等内容。</w:t>
      </w:r>
    </w:p>
    <w:p>
      <w:pPr>
        <w:adjustRightInd w:val="0"/>
        <w:snapToGrid w:val="0"/>
        <w:spacing w:line="579" w:lineRule="exact"/>
        <w:ind w:firstLine="643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楷体_GB2312"/>
          <w:b/>
          <w:bCs/>
          <w:snapToGrid w:val="0"/>
          <w:kern w:val="0"/>
          <w:sz w:val="32"/>
          <w:szCs w:val="32"/>
        </w:rPr>
        <w:t>4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.</w:t>
      </w:r>
      <w:r>
        <w:rPr>
          <w:rFonts w:eastAsia="楷体_GB2312"/>
          <w:b/>
          <w:bCs/>
          <w:snapToGrid w:val="0"/>
          <w:kern w:val="0"/>
          <w:sz w:val="32"/>
          <w:szCs w:val="32"/>
        </w:rPr>
        <w:t>一般公共预算收入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。</w:t>
      </w:r>
      <w:r>
        <w:rPr>
          <w:rFonts w:eastAsia="仿宋_GB2312"/>
          <w:snapToGrid w:val="0"/>
          <w:kern w:val="0"/>
          <w:sz w:val="32"/>
          <w:szCs w:val="32"/>
        </w:rPr>
        <w:t>是按照财政部规定的统一科目和口径统计的收入，包括地方固定收入以及中央与地方共享收入中地方所得部分。地方各级财政总收入减去上划中央、省收入即为一般公共预算收入。</w:t>
      </w:r>
    </w:p>
    <w:p>
      <w:pPr>
        <w:adjustRightInd w:val="0"/>
        <w:snapToGrid w:val="0"/>
        <w:spacing w:line="579" w:lineRule="exact"/>
        <w:ind w:firstLine="643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楷体_GB2312"/>
          <w:b/>
          <w:bCs/>
          <w:snapToGrid w:val="0"/>
          <w:kern w:val="0"/>
          <w:sz w:val="32"/>
          <w:szCs w:val="32"/>
        </w:rPr>
        <w:t>5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.</w:t>
      </w:r>
      <w:r>
        <w:rPr>
          <w:rFonts w:eastAsia="楷体_GB2312"/>
          <w:b/>
          <w:bCs/>
          <w:snapToGrid w:val="0"/>
          <w:kern w:val="0"/>
          <w:sz w:val="32"/>
          <w:szCs w:val="32"/>
        </w:rPr>
        <w:t>税收收入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。</w:t>
      </w:r>
      <w:r>
        <w:rPr>
          <w:rFonts w:eastAsia="仿宋_GB2312"/>
          <w:snapToGrid w:val="0"/>
          <w:kern w:val="0"/>
          <w:sz w:val="32"/>
          <w:szCs w:val="32"/>
        </w:rPr>
        <w:t>指政府为履行其职能，凭借公共权力，按照法律规定的标准和程序，向经济单位和个人强制地、无偿地</w:t>
      </w:r>
      <w:bookmarkStart w:id="0" w:name="_GoBack"/>
      <w:bookmarkEnd w:id="0"/>
      <w:r>
        <w:rPr>
          <w:rFonts w:eastAsia="仿宋_GB2312"/>
          <w:snapToGrid w:val="0"/>
          <w:kern w:val="0"/>
          <w:sz w:val="32"/>
          <w:szCs w:val="32"/>
        </w:rPr>
        <w:t>取得财政收入的一种形式。具有强制性、无偿性、固定性三大特征。在现代市场经济条件下，税收具有组织财政收入、调节经济和调节收入分配的基本职能。</w:t>
      </w:r>
    </w:p>
    <w:p>
      <w:pPr>
        <w:adjustRightInd w:val="0"/>
        <w:snapToGrid w:val="0"/>
        <w:spacing w:line="579" w:lineRule="exact"/>
        <w:ind w:firstLine="643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楷体_GB2312"/>
          <w:b/>
          <w:bCs/>
          <w:snapToGrid w:val="0"/>
          <w:kern w:val="0"/>
          <w:sz w:val="32"/>
          <w:szCs w:val="32"/>
        </w:rPr>
        <w:t>6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.</w:t>
      </w:r>
      <w:r>
        <w:rPr>
          <w:rFonts w:eastAsia="楷体_GB2312"/>
          <w:b/>
          <w:bCs/>
          <w:snapToGrid w:val="0"/>
          <w:kern w:val="0"/>
          <w:sz w:val="32"/>
          <w:szCs w:val="32"/>
        </w:rPr>
        <w:t>非税收入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。</w:t>
      </w:r>
      <w:r>
        <w:rPr>
          <w:rFonts w:eastAsia="仿宋_GB2312"/>
          <w:snapToGrid w:val="0"/>
          <w:kern w:val="0"/>
          <w:sz w:val="32"/>
          <w:szCs w:val="32"/>
        </w:rPr>
        <w:t>指除税收以外，由各级政府、国家机关、事业单位、代行政府职能的社会团体及其他组织依法利用政府权力、政府信誉、国家资源、国有资产或提供特定公共服务、准公共服务取得的财政性资金，是政府财政收入的重要组成部分。</w:t>
      </w:r>
    </w:p>
    <w:p>
      <w:pPr>
        <w:adjustRightInd w:val="0"/>
        <w:snapToGrid w:val="0"/>
        <w:spacing w:line="579" w:lineRule="exact"/>
        <w:ind w:firstLine="635" w:firstLineChars="200"/>
        <w:rPr>
          <w:rFonts w:eastAsia="仿宋_GB2312"/>
          <w:snapToGrid w:val="0"/>
          <w:spacing w:val="-2"/>
          <w:kern w:val="0"/>
          <w:sz w:val="32"/>
          <w:szCs w:val="32"/>
        </w:rPr>
      </w:pPr>
      <w:r>
        <w:rPr>
          <w:rFonts w:eastAsia="楷体_GB2312"/>
          <w:b/>
          <w:bCs/>
          <w:snapToGrid w:val="0"/>
          <w:spacing w:val="-2"/>
          <w:kern w:val="0"/>
          <w:sz w:val="32"/>
          <w:szCs w:val="32"/>
        </w:rPr>
        <w:t>7</w:t>
      </w:r>
      <w:r>
        <w:rPr>
          <w:rFonts w:hint="eastAsia" w:eastAsia="楷体_GB2312"/>
          <w:b/>
          <w:bCs/>
          <w:snapToGrid w:val="0"/>
          <w:spacing w:val="-2"/>
          <w:kern w:val="0"/>
          <w:sz w:val="32"/>
          <w:szCs w:val="32"/>
        </w:rPr>
        <w:t>.</w:t>
      </w:r>
      <w:r>
        <w:rPr>
          <w:rFonts w:eastAsia="楷体_GB2312"/>
          <w:b/>
          <w:bCs/>
          <w:snapToGrid w:val="0"/>
          <w:spacing w:val="-2"/>
          <w:kern w:val="0"/>
          <w:sz w:val="32"/>
          <w:szCs w:val="32"/>
        </w:rPr>
        <w:t>政府性基金收入</w:t>
      </w:r>
      <w:r>
        <w:rPr>
          <w:rFonts w:hint="eastAsia" w:eastAsia="楷体_GB2312"/>
          <w:b/>
          <w:bCs/>
          <w:snapToGrid w:val="0"/>
          <w:spacing w:val="-2"/>
          <w:kern w:val="0"/>
          <w:sz w:val="32"/>
          <w:szCs w:val="32"/>
        </w:rPr>
        <w:t>。</w:t>
      </w:r>
      <w:r>
        <w:rPr>
          <w:rFonts w:eastAsia="仿宋_GB2312"/>
          <w:snapToGrid w:val="0"/>
          <w:spacing w:val="-2"/>
          <w:kern w:val="0"/>
          <w:sz w:val="32"/>
          <w:szCs w:val="32"/>
        </w:rPr>
        <w:t>指各级人民政府及其所属部门根据法律、国家行政法规和中共中央、国务院有关文件的规定，为支持某项事业发展，按照国家规定程序批准，向公民、法人和其他组织收取或者以出让土地、发行彩票等其他方式筹集具有专项用途的资金所产生的收入。包括各种基金、资金、附加和专项收费收入。</w:t>
      </w:r>
    </w:p>
    <w:p>
      <w:pPr>
        <w:adjustRightInd w:val="0"/>
        <w:snapToGrid w:val="0"/>
        <w:spacing w:line="579" w:lineRule="exact"/>
        <w:ind w:firstLine="643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楷体_GB2312"/>
          <w:b/>
          <w:bCs/>
          <w:snapToGrid w:val="0"/>
          <w:kern w:val="0"/>
          <w:sz w:val="32"/>
          <w:szCs w:val="32"/>
        </w:rPr>
        <w:t>8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.</w:t>
      </w:r>
      <w:r>
        <w:rPr>
          <w:rFonts w:eastAsia="楷体_GB2312"/>
          <w:b/>
          <w:bCs/>
          <w:snapToGrid w:val="0"/>
          <w:kern w:val="0"/>
          <w:sz w:val="32"/>
          <w:szCs w:val="32"/>
        </w:rPr>
        <w:t>一般公共预算支出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。</w:t>
      </w:r>
      <w:r>
        <w:rPr>
          <w:rFonts w:eastAsia="仿宋_GB2312"/>
          <w:snapToGrid w:val="0"/>
          <w:kern w:val="0"/>
          <w:sz w:val="32"/>
          <w:szCs w:val="32"/>
        </w:rPr>
        <w:t>指政府对上级转移性收入、本级一般公共预算收入等有计划的分配和使用而形成的支出。</w:t>
      </w:r>
    </w:p>
    <w:p>
      <w:pPr>
        <w:adjustRightInd w:val="0"/>
        <w:snapToGrid w:val="0"/>
        <w:spacing w:line="579" w:lineRule="exact"/>
        <w:ind w:firstLine="643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楷体_GB2312"/>
          <w:b/>
          <w:bCs/>
          <w:snapToGrid w:val="0"/>
          <w:kern w:val="0"/>
          <w:sz w:val="32"/>
          <w:szCs w:val="32"/>
        </w:rPr>
        <w:t>9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.</w:t>
      </w:r>
      <w:r>
        <w:rPr>
          <w:rFonts w:eastAsia="楷体_GB2312"/>
          <w:b/>
          <w:bCs/>
          <w:snapToGrid w:val="0"/>
          <w:kern w:val="0"/>
          <w:sz w:val="32"/>
          <w:szCs w:val="32"/>
        </w:rPr>
        <w:t>政府性基金支出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。</w:t>
      </w:r>
      <w:r>
        <w:rPr>
          <w:rFonts w:eastAsia="仿宋_GB2312"/>
          <w:snapToGrid w:val="0"/>
          <w:kern w:val="0"/>
          <w:sz w:val="32"/>
          <w:szCs w:val="32"/>
        </w:rPr>
        <w:t>是指政府用筹集的政府性基金收入安排的支出。</w:t>
      </w:r>
    </w:p>
    <w:p>
      <w:pPr>
        <w:adjustRightInd w:val="0"/>
        <w:snapToGrid w:val="0"/>
        <w:spacing w:line="579" w:lineRule="exact"/>
        <w:ind w:firstLine="643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楷体_GB2312"/>
          <w:b/>
          <w:bCs/>
          <w:snapToGrid w:val="0"/>
          <w:kern w:val="0"/>
          <w:sz w:val="32"/>
          <w:szCs w:val="32"/>
        </w:rPr>
        <w:t>10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.</w:t>
      </w:r>
      <w:r>
        <w:rPr>
          <w:rFonts w:eastAsia="楷体_GB2312"/>
          <w:b/>
          <w:bCs/>
          <w:snapToGrid w:val="0"/>
          <w:kern w:val="0"/>
          <w:sz w:val="32"/>
          <w:szCs w:val="32"/>
        </w:rPr>
        <w:t>民生支出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。</w:t>
      </w:r>
      <w:r>
        <w:rPr>
          <w:rFonts w:eastAsia="仿宋_GB2312"/>
          <w:snapToGrid w:val="0"/>
          <w:kern w:val="0"/>
          <w:sz w:val="32"/>
          <w:szCs w:val="32"/>
        </w:rPr>
        <w:t>指财政支出中用于保障和改善民生方面的支出。包括教育、科学技术、文化体育与传媒、社会保障和就业、医疗卫生、节能环保、城乡社区事务、农林水事务、交通运输、商业服务业等事务、国土海洋气象等事务、住房保障支出、粮油物资储备事务等支出科目的总和，不包括一般公共服务、公共安全、资源勘探电力信息等事务、金融监管等事务、其他支出等支出科目。</w:t>
      </w:r>
    </w:p>
    <w:p>
      <w:pPr>
        <w:adjustRightInd w:val="0"/>
        <w:snapToGrid w:val="0"/>
        <w:spacing w:line="579" w:lineRule="exact"/>
        <w:ind w:firstLine="643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楷体_GB2312"/>
          <w:b/>
          <w:bCs/>
          <w:snapToGrid w:val="0"/>
          <w:kern w:val="0"/>
          <w:sz w:val="32"/>
          <w:szCs w:val="32"/>
        </w:rPr>
        <w:t>11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.</w:t>
      </w:r>
      <w:r>
        <w:rPr>
          <w:rFonts w:eastAsia="楷体_GB2312"/>
          <w:b/>
          <w:bCs/>
          <w:snapToGrid w:val="0"/>
          <w:kern w:val="0"/>
          <w:sz w:val="32"/>
          <w:szCs w:val="32"/>
        </w:rPr>
        <w:t>政府债务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。</w:t>
      </w:r>
      <w:r>
        <w:rPr>
          <w:rFonts w:eastAsia="仿宋_GB2312"/>
          <w:snapToGrid w:val="0"/>
          <w:kern w:val="0"/>
          <w:sz w:val="32"/>
          <w:szCs w:val="32"/>
        </w:rPr>
        <w:t>指政府凭借其信誉，按照有偿原则发生信用关系来筹集财政资金的一种信用方式，也是政府调度社会资金，弥补财政赤字，并借以调控经济运行的一种特殊分配方式。</w:t>
      </w:r>
    </w:p>
    <w:p>
      <w:pPr>
        <w:adjustRightInd w:val="0"/>
        <w:snapToGrid w:val="0"/>
        <w:spacing w:line="579" w:lineRule="exact"/>
        <w:ind w:firstLine="643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楷体_GB2312"/>
          <w:b/>
          <w:bCs/>
          <w:snapToGrid w:val="0"/>
          <w:kern w:val="0"/>
          <w:sz w:val="32"/>
          <w:szCs w:val="32"/>
        </w:rPr>
        <w:t>12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.</w:t>
      </w:r>
      <w:r>
        <w:rPr>
          <w:rFonts w:eastAsia="楷体_GB2312"/>
          <w:b/>
          <w:bCs/>
          <w:snapToGrid w:val="0"/>
          <w:kern w:val="0"/>
          <w:sz w:val="32"/>
          <w:szCs w:val="32"/>
        </w:rPr>
        <w:t>“三公”经费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。</w:t>
      </w:r>
      <w:r>
        <w:rPr>
          <w:rFonts w:eastAsia="仿宋_GB2312"/>
          <w:snapToGrid w:val="0"/>
          <w:kern w:val="0"/>
          <w:sz w:val="32"/>
          <w:szCs w:val="32"/>
        </w:rPr>
        <w:t>指政府部门人员因公出国</w:t>
      </w:r>
      <w:r>
        <w:rPr>
          <w:rFonts w:hint="eastAsia" w:eastAsia="仿宋_GB2312"/>
          <w:snapToGrid w:val="0"/>
          <w:kern w:val="0"/>
          <w:sz w:val="32"/>
          <w:szCs w:val="32"/>
        </w:rPr>
        <w:t>（</w:t>
      </w:r>
      <w:r>
        <w:rPr>
          <w:rFonts w:eastAsia="仿宋_GB2312"/>
          <w:snapToGrid w:val="0"/>
          <w:kern w:val="0"/>
          <w:sz w:val="32"/>
          <w:szCs w:val="32"/>
        </w:rPr>
        <w:t>境</w:t>
      </w:r>
      <w:r>
        <w:rPr>
          <w:rFonts w:hint="eastAsia" w:eastAsia="仿宋_GB2312"/>
          <w:snapToGrid w:val="0"/>
          <w:kern w:val="0"/>
          <w:sz w:val="32"/>
          <w:szCs w:val="32"/>
        </w:rPr>
        <w:t>）</w:t>
      </w:r>
      <w:r>
        <w:rPr>
          <w:rFonts w:eastAsia="仿宋_GB2312"/>
          <w:snapToGrid w:val="0"/>
          <w:kern w:val="0"/>
          <w:sz w:val="32"/>
          <w:szCs w:val="32"/>
        </w:rPr>
        <w:t>经费、公务车购置及运行费、公务招待费。其中，因公出国</w:t>
      </w:r>
      <w:r>
        <w:rPr>
          <w:rFonts w:hint="eastAsia" w:eastAsia="仿宋_GB2312"/>
          <w:snapToGrid w:val="0"/>
          <w:kern w:val="0"/>
          <w:sz w:val="32"/>
          <w:szCs w:val="32"/>
        </w:rPr>
        <w:t>（</w:t>
      </w:r>
      <w:r>
        <w:rPr>
          <w:rFonts w:eastAsia="仿宋_GB2312"/>
          <w:snapToGrid w:val="0"/>
          <w:kern w:val="0"/>
          <w:sz w:val="32"/>
          <w:szCs w:val="32"/>
        </w:rPr>
        <w:t>境</w:t>
      </w:r>
      <w:r>
        <w:rPr>
          <w:rFonts w:hint="eastAsia" w:eastAsia="仿宋_GB2312"/>
          <w:snapToGrid w:val="0"/>
          <w:kern w:val="0"/>
          <w:sz w:val="32"/>
          <w:szCs w:val="32"/>
        </w:rPr>
        <w:t>）</w:t>
      </w:r>
      <w:r>
        <w:rPr>
          <w:rFonts w:eastAsia="仿宋_GB2312"/>
          <w:snapToGrid w:val="0"/>
          <w:kern w:val="0"/>
          <w:sz w:val="32"/>
          <w:szCs w:val="32"/>
        </w:rPr>
        <w:t>费反映单位公务出国</w:t>
      </w:r>
      <w:r>
        <w:rPr>
          <w:rFonts w:hint="eastAsia" w:eastAsia="仿宋_GB2312"/>
          <w:snapToGrid w:val="0"/>
          <w:kern w:val="0"/>
          <w:sz w:val="32"/>
          <w:szCs w:val="32"/>
        </w:rPr>
        <w:t>（</w:t>
      </w:r>
      <w:r>
        <w:rPr>
          <w:rFonts w:eastAsia="仿宋_GB2312"/>
          <w:snapToGrid w:val="0"/>
          <w:kern w:val="0"/>
          <w:sz w:val="32"/>
          <w:szCs w:val="32"/>
        </w:rPr>
        <w:t>境</w:t>
      </w:r>
      <w:r>
        <w:rPr>
          <w:rFonts w:hint="eastAsia" w:eastAsia="仿宋_GB2312"/>
          <w:snapToGrid w:val="0"/>
          <w:kern w:val="0"/>
          <w:sz w:val="32"/>
          <w:szCs w:val="32"/>
        </w:rPr>
        <w:t>）</w:t>
      </w:r>
      <w:r>
        <w:rPr>
          <w:rFonts w:eastAsia="仿宋_GB2312"/>
          <w:snapToGrid w:val="0"/>
          <w:kern w:val="0"/>
          <w:sz w:val="32"/>
          <w:szCs w:val="32"/>
        </w:rPr>
        <w:t>的国际旅费、国外城市间交通费、住宿费、伙食费、培训费、公杂费等支出；公务用车购置及运行费反映单位公务用车购置费及租用费、燃料费、维修费、过路过桥费、保险费等支出；公务接待费反映单位按规定开支的各类公务接待</w:t>
      </w:r>
      <w:r>
        <w:rPr>
          <w:rFonts w:hint="eastAsia" w:eastAsia="仿宋_GB2312"/>
          <w:snapToGrid w:val="0"/>
          <w:kern w:val="0"/>
          <w:sz w:val="32"/>
          <w:szCs w:val="32"/>
        </w:rPr>
        <w:t>（</w:t>
      </w:r>
      <w:r>
        <w:rPr>
          <w:rFonts w:eastAsia="仿宋_GB2312"/>
          <w:snapToGrid w:val="0"/>
          <w:kern w:val="0"/>
          <w:sz w:val="32"/>
          <w:szCs w:val="32"/>
        </w:rPr>
        <w:t>含外宾接待</w:t>
      </w:r>
      <w:r>
        <w:rPr>
          <w:rFonts w:hint="eastAsia" w:eastAsia="仿宋_GB2312"/>
          <w:snapToGrid w:val="0"/>
          <w:kern w:val="0"/>
          <w:sz w:val="32"/>
          <w:szCs w:val="32"/>
        </w:rPr>
        <w:t>）</w:t>
      </w:r>
      <w:r>
        <w:rPr>
          <w:rFonts w:eastAsia="仿宋_GB2312"/>
          <w:snapToGrid w:val="0"/>
          <w:kern w:val="0"/>
          <w:sz w:val="32"/>
          <w:szCs w:val="32"/>
        </w:rPr>
        <w:t>支出。</w:t>
      </w:r>
    </w:p>
    <w:p>
      <w:pPr>
        <w:widowControl/>
        <w:adjustRightInd w:val="0"/>
        <w:snapToGrid w:val="0"/>
        <w:spacing w:line="579" w:lineRule="exact"/>
        <w:ind w:firstLine="643"/>
        <w:rPr>
          <w:rFonts w:eastAsia="仿宋_GB2312"/>
          <w:snapToGrid w:val="0"/>
          <w:spacing w:val="-4"/>
          <w:kern w:val="0"/>
          <w:sz w:val="32"/>
          <w:szCs w:val="32"/>
        </w:rPr>
      </w:pPr>
      <w:r>
        <w:rPr>
          <w:rFonts w:eastAsia="楷体_GB2312"/>
          <w:b/>
          <w:bCs/>
          <w:snapToGrid w:val="0"/>
          <w:kern w:val="0"/>
          <w:sz w:val="32"/>
          <w:szCs w:val="32"/>
        </w:rPr>
        <w:t>13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.</w:t>
      </w:r>
      <w:r>
        <w:rPr>
          <w:rFonts w:eastAsia="楷体_GB2312"/>
          <w:b/>
          <w:bCs/>
          <w:snapToGrid w:val="0"/>
          <w:kern w:val="0"/>
          <w:sz w:val="32"/>
          <w:szCs w:val="32"/>
        </w:rPr>
        <w:t>预算稳定调节基金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。</w:t>
      </w:r>
      <w:r>
        <w:rPr>
          <w:rFonts w:eastAsia="仿宋_GB2312"/>
          <w:snapToGrid w:val="0"/>
          <w:spacing w:val="-4"/>
          <w:kern w:val="0"/>
          <w:sz w:val="32"/>
          <w:szCs w:val="32"/>
        </w:rPr>
        <w:t>指财政通过超收收入和支出预算结余安排的具有储备性质的基金，视预算平衡情况，在安排下年度预算时调入并安排使用，或用于弥补短收年份预算执行的收支缺口。预算稳定调节基金的安排使用接受本级人大及其常委会监督。</w:t>
      </w:r>
    </w:p>
    <w:p>
      <w:pPr>
        <w:adjustRightInd w:val="0"/>
        <w:snapToGrid w:val="0"/>
        <w:spacing w:line="579" w:lineRule="exact"/>
        <w:ind w:firstLine="643" w:firstLineChars="200"/>
        <w:jc w:val="left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eastAsia="楷体_GB2312"/>
          <w:b/>
          <w:bCs/>
          <w:snapToGrid w:val="0"/>
          <w:kern w:val="0"/>
          <w:sz w:val="32"/>
          <w:szCs w:val="32"/>
        </w:rPr>
        <w:t>14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.</w:t>
      </w:r>
      <w:r>
        <w:rPr>
          <w:rFonts w:eastAsia="楷体_GB2312"/>
          <w:b/>
          <w:bCs/>
          <w:snapToGrid w:val="0"/>
          <w:kern w:val="0"/>
          <w:sz w:val="32"/>
          <w:szCs w:val="32"/>
        </w:rPr>
        <w:t>特殊转移支付资金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。</w:t>
      </w:r>
      <w:r>
        <w:rPr>
          <w:rFonts w:eastAsia="仿宋_GB2312"/>
          <w:snapToGrid w:val="0"/>
          <w:kern w:val="0"/>
          <w:sz w:val="32"/>
          <w:szCs w:val="32"/>
        </w:rPr>
        <w:t>指2020年中央财政通过新增财政赤字、发行抗疫特别国债等渠道，统筹安排特殊转移支付资金，用于综合财力补助，弥补地方减收增支和县级“三保”缺口补助等。该项转移支付为一次性财力补助，不计入对市县的转移支付补助基数。</w:t>
      </w:r>
    </w:p>
    <w:p>
      <w:pPr>
        <w:adjustRightInd w:val="0"/>
        <w:snapToGrid w:val="0"/>
        <w:spacing w:line="579" w:lineRule="exact"/>
        <w:ind w:firstLine="643" w:firstLineChars="200"/>
        <w:jc w:val="left"/>
      </w:pPr>
      <w:r>
        <w:rPr>
          <w:rFonts w:eastAsia="楷体_GB2312"/>
          <w:b/>
          <w:bCs/>
          <w:snapToGrid w:val="0"/>
          <w:kern w:val="0"/>
          <w:sz w:val="32"/>
          <w:szCs w:val="32"/>
        </w:rPr>
        <w:t>15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.</w:t>
      </w:r>
      <w:r>
        <w:rPr>
          <w:rFonts w:eastAsia="楷体_GB2312"/>
          <w:b/>
          <w:bCs/>
          <w:snapToGrid w:val="0"/>
          <w:kern w:val="0"/>
          <w:sz w:val="32"/>
          <w:szCs w:val="32"/>
        </w:rPr>
        <w:t>抗疫特别国债</w:t>
      </w:r>
      <w:r>
        <w:rPr>
          <w:rFonts w:hint="eastAsia" w:eastAsia="楷体_GB2312"/>
          <w:b/>
          <w:bCs/>
          <w:snapToGrid w:val="0"/>
          <w:kern w:val="0"/>
          <w:sz w:val="32"/>
          <w:szCs w:val="32"/>
        </w:rPr>
        <w:t>。</w:t>
      </w:r>
      <w:r>
        <w:rPr>
          <w:rFonts w:eastAsia="仿宋_GB2312"/>
          <w:snapToGrid w:val="0"/>
          <w:kern w:val="0"/>
          <w:sz w:val="32"/>
          <w:szCs w:val="32"/>
        </w:rPr>
        <w:t>指2020年在应对新冠肺炎疫情特殊时期，由中央财政统一发行、分配用于支持县域基础设施建设和疫情防控的特别国债资金。抗疫特别国债资金实行特殊转移支付机制，按照“中央切块</w:t>
      </w:r>
      <w:r>
        <w:rPr>
          <w:rFonts w:hint="eastAsia" w:eastAsia="仿宋_GB2312"/>
          <w:snapToGrid w:val="0"/>
          <w:kern w:val="0"/>
          <w:sz w:val="32"/>
          <w:szCs w:val="32"/>
        </w:rPr>
        <w:t>、</w:t>
      </w:r>
      <w:r>
        <w:rPr>
          <w:rFonts w:eastAsia="仿宋_GB2312"/>
          <w:snapToGrid w:val="0"/>
          <w:kern w:val="0"/>
          <w:sz w:val="32"/>
          <w:szCs w:val="32"/>
        </w:rPr>
        <w:t>省级细化、备案同意、快速直达”的原则直接下达，由县级统筹用于惠企利民。</w:t>
      </w:r>
    </w:p>
    <w:p>
      <w:pPr>
        <w:adjustRightInd w:val="0"/>
        <w:snapToGrid w:val="0"/>
        <w:spacing w:line="579" w:lineRule="exact"/>
        <w:ind w:firstLine="420" w:firstLineChars="200"/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  <w:r>
      <w:rPr>
        <w:sz w:val="18"/>
      </w:rPr>
      <w:pict>
        <v:shape id="_x0000_s3073" o:spid="_x0000_s3073" o:spt="202" type="#_x0000_t202" style="position:absolute;left:0pt;margin-top:13.3pt;height:21.25pt;width:81.95pt;mso-position-horizontal:outside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Style w:val="5"/>
                    <w:rFonts w:hint="eastAsia" w:ascii="宋体" w:hAnsi="宋体" w:eastAsiaTheme="minorEastAsia"/>
                    <w:sz w:val="28"/>
                    <w:szCs w:val="28"/>
                    <w:lang w:eastAsia="zh-CN"/>
                  </w:rPr>
                </w:pPr>
                <w:r>
                  <w:rPr>
                    <w:rStyle w:val="5"/>
                    <w:rFonts w:hint="eastAsia" w:ascii="宋体" w:hAnsi="宋体"/>
                    <w:color w:val="FFFFFF" w:themeColor="background1"/>
                    <w:sz w:val="28"/>
                    <w:szCs w:val="28"/>
                    <w:lang w:eastAsia="zh-CN"/>
                    <w14:textFill>
                      <w14:solidFill>
                        <w14:schemeClr w14:val="bg1"/>
                      </w14:solidFill>
                    </w14:textFill>
                  </w:rPr>
                  <w:t>—</w:t>
                </w:r>
                <w:r>
                  <w:rPr>
                    <w:rStyle w:val="5"/>
                    <w:rFonts w:hint="eastAsia" w:ascii="宋体" w:hAnsi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5"/>
                    <w:rFonts w:hint="eastAsia" w:ascii="宋体" w:hAnsi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5"/>
                    <w:rFonts w:ascii="宋体" w:hAnsi="宋体"/>
                    <w:sz w:val="28"/>
                    <w:szCs w:val="28"/>
                  </w:rPr>
                  <w:t>4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5"/>
                    <w:rFonts w:hint="eastAsia" w:ascii="宋体" w:hAnsi="宋体"/>
                    <w:sz w:val="28"/>
                    <w:szCs w:val="28"/>
                  </w:rPr>
                  <w:t xml:space="preserve"> </w:t>
                </w:r>
                <w:r>
                  <w:rPr>
                    <w:rStyle w:val="5"/>
                    <w:rFonts w:hint="eastAsia" w:ascii="宋体" w:hAnsi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Style w:val="5"/>
                    <w:rFonts w:hint="eastAsia" w:ascii="宋体" w:hAnsi="宋体"/>
                    <w:color w:val="FFFFFF" w:themeColor="background1"/>
                    <w:sz w:val="28"/>
                    <w:szCs w:val="28"/>
                    <w:lang w:eastAsia="zh-CN"/>
                    <w14:textFill>
                      <w14:solidFill>
                        <w14:schemeClr w14:val="bg1"/>
                      </w14:solidFill>
                    </w14:textFill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  <w:p>
    <w:pPr>
      <w:pStyle w:val="2"/>
      <w:framePr w:wrap="around" w:vAnchor="text" w:hAnchor="page" w:x="1968" w:y="133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F3F"/>
    <w:rsid w:val="00130770"/>
    <w:rsid w:val="00954FB7"/>
    <w:rsid w:val="00983516"/>
    <w:rsid w:val="00EB6469"/>
    <w:rsid w:val="00FE3F3F"/>
    <w:rsid w:val="377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252</Words>
  <Characters>1437</Characters>
  <Lines>11</Lines>
  <Paragraphs>3</Paragraphs>
  <TotalTime>8</TotalTime>
  <ScaleCrop>false</ScaleCrop>
  <LinksUpToDate>false</LinksUpToDate>
  <CharactersWithSpaces>1686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2019-08-29T10:01:00Z</dcterms:created>
  <dc:creator>Windows 用户</dc:creator>
  <cp:lastModifiedBy>溪河耕夫</cp:lastModifiedBy>
  <cp:lastPrinted>2021-09-02T03:43:52Z</cp:lastPrinted>
  <dcterms:modified xsi:type="dcterms:W3CDTF">2021-09-02T03:50:26Z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