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sz w:val="40"/>
          <w:szCs w:val="40"/>
        </w:rPr>
      </w:pPr>
      <w:bookmarkStart w:id="0" w:name="_GoBack"/>
      <w:bookmarkEnd w:id="0"/>
    </w:p>
    <w:p>
      <w:pPr>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关于20</w:t>
      </w:r>
      <w:r>
        <w:rPr>
          <w:rFonts w:hint="eastAsia" w:ascii="Times New Roman" w:hAnsi="Times New Roman" w:eastAsia="方正小标宋简体" w:cs="Times New Roman"/>
          <w:bCs/>
          <w:sz w:val="44"/>
          <w:szCs w:val="44"/>
          <w:lang w:val="en-US" w:eastAsia="zh-CN"/>
        </w:rPr>
        <w:t>20</w:t>
      </w:r>
      <w:r>
        <w:rPr>
          <w:rFonts w:ascii="Times New Roman" w:hAnsi="Times New Roman" w:eastAsia="方正小标宋简体" w:cs="Times New Roman"/>
          <w:bCs/>
          <w:sz w:val="44"/>
          <w:szCs w:val="44"/>
        </w:rPr>
        <w:t>灵台县政府性基金支出情况说明</w:t>
      </w:r>
    </w:p>
    <w:p>
      <w:pPr>
        <w:pStyle w:val="2"/>
        <w:adjustRightInd w:val="0"/>
        <w:snapToGrid w:val="0"/>
        <w:spacing w:line="660" w:lineRule="exact"/>
        <w:rPr>
          <w:rFonts w:ascii="Times New Roman" w:hAnsi="Times New Roman" w:eastAsia="方正小标宋简体" w:cs="Times New Roman"/>
          <w:sz w:val="32"/>
          <w:szCs w:val="32"/>
        </w:rPr>
      </w:pPr>
    </w:p>
    <w:p>
      <w:pPr>
        <w:pStyle w:val="2"/>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outlineLvl w:val="9"/>
        <w:rPr>
          <w:rFonts w:ascii="Times New Roman" w:hAnsi="Times New Roman" w:eastAsia="黑体" w:cs="Times New Roman"/>
          <w:sz w:val="32"/>
          <w:szCs w:val="32"/>
        </w:rPr>
      </w:pPr>
      <w:r>
        <w:rPr>
          <w:rFonts w:ascii="Times New Roman" w:hAnsi="Times New Roman" w:eastAsia="黑体" w:cs="Times New Roman"/>
          <w:sz w:val="32"/>
          <w:szCs w:val="32"/>
        </w:rPr>
        <w:t>一、支出决算</w:t>
      </w:r>
    </w:p>
    <w:p>
      <w:pPr>
        <w:pStyle w:val="2"/>
        <w:keepNext w:val="0"/>
        <w:keepLines w:val="0"/>
        <w:pageBreakBefore w:val="0"/>
        <w:widowControl w:val="0"/>
        <w:kinsoku/>
        <w:wordWrap/>
        <w:overflowPunct/>
        <w:topLinePunct w:val="0"/>
        <w:autoSpaceDE/>
        <w:autoSpaceDN/>
        <w:bidi w:val="0"/>
        <w:adjustRightInd w:val="0"/>
        <w:snapToGrid w:val="0"/>
        <w:spacing w:line="579" w:lineRule="exact"/>
        <w:ind w:firstLine="640"/>
        <w:textAlignment w:val="auto"/>
        <w:outlineLvl w:val="9"/>
        <w:rPr>
          <w:rFonts w:hint="default" w:ascii="Times New Roman" w:hAnsi="Times New Roman" w:eastAsia="仿宋" w:cs="Times New Roman"/>
          <w:snapToGrid w:val="0"/>
          <w:sz w:val="32"/>
          <w:szCs w:val="32"/>
        </w:rPr>
      </w:pPr>
      <w:r>
        <w:rPr>
          <w:rFonts w:hint="default" w:ascii="Times New Roman" w:hAnsi="Times New Roman" w:eastAsia="仿宋" w:cs="Times New Roman"/>
          <w:sz w:val="32"/>
          <w:szCs w:val="32"/>
        </w:rPr>
        <w:t>20</w:t>
      </w:r>
      <w:r>
        <w:rPr>
          <w:rFonts w:hint="default" w:ascii="Times New Roman" w:hAnsi="Times New Roman" w:eastAsia="仿宋" w:cs="Times New Roman"/>
          <w:sz w:val="32"/>
          <w:szCs w:val="32"/>
          <w:lang w:val="en-US" w:eastAsia="zh-CN"/>
        </w:rPr>
        <w:t>20</w:t>
      </w:r>
      <w:r>
        <w:rPr>
          <w:rFonts w:hint="default" w:ascii="Times New Roman" w:hAnsi="Times New Roman" w:eastAsia="仿宋" w:cs="Times New Roman"/>
          <w:sz w:val="32"/>
          <w:szCs w:val="32"/>
        </w:rPr>
        <w:t>年，全县政府性基金支出</w:t>
      </w:r>
      <w:r>
        <w:rPr>
          <w:rFonts w:hint="default" w:ascii="Times New Roman" w:hAnsi="Times New Roman" w:eastAsia="仿宋" w:cs="Times New Roman"/>
          <w:snapToGrid w:val="0"/>
          <w:sz w:val="32"/>
          <w:szCs w:val="32"/>
          <w:lang w:val="en-US" w:eastAsia="zh-CN"/>
        </w:rPr>
        <w:t>21909</w:t>
      </w:r>
      <w:r>
        <w:rPr>
          <w:rFonts w:hint="default" w:ascii="Times New Roman" w:hAnsi="Times New Roman" w:eastAsia="仿宋" w:cs="Times New Roman"/>
          <w:snapToGrid w:val="0"/>
          <w:sz w:val="32"/>
          <w:szCs w:val="32"/>
        </w:rPr>
        <w:t>万元，占调整预算的100%，较上年多支</w:t>
      </w:r>
      <w:r>
        <w:rPr>
          <w:rFonts w:hint="default" w:ascii="Times New Roman" w:hAnsi="Times New Roman" w:eastAsia="仿宋" w:cs="Times New Roman"/>
          <w:snapToGrid w:val="0"/>
          <w:sz w:val="32"/>
          <w:szCs w:val="32"/>
          <w:lang w:val="en-US" w:eastAsia="zh-CN"/>
        </w:rPr>
        <w:t>8087</w:t>
      </w:r>
      <w:r>
        <w:rPr>
          <w:rFonts w:hint="default" w:ascii="Times New Roman" w:hAnsi="Times New Roman" w:eastAsia="仿宋" w:cs="Times New Roman"/>
          <w:snapToGrid w:val="0"/>
          <w:sz w:val="32"/>
          <w:szCs w:val="32"/>
        </w:rPr>
        <w:t>万元，增长</w:t>
      </w:r>
      <w:r>
        <w:rPr>
          <w:rFonts w:hint="default" w:ascii="Times New Roman" w:hAnsi="Times New Roman" w:eastAsia="仿宋" w:cs="Times New Roman"/>
          <w:snapToGrid w:val="0"/>
          <w:sz w:val="32"/>
          <w:szCs w:val="32"/>
          <w:lang w:val="en-US" w:eastAsia="zh-CN"/>
        </w:rPr>
        <w:t>58.5</w:t>
      </w:r>
      <w:r>
        <w:rPr>
          <w:rFonts w:hint="default" w:ascii="Times New Roman" w:hAnsi="Times New Roman" w:eastAsia="仿宋" w:cs="Times New Roman"/>
          <w:snapToGrid w:val="0"/>
          <w:sz w:val="32"/>
          <w:szCs w:val="32"/>
        </w:rPr>
        <w:t>%。</w:t>
      </w:r>
    </w:p>
    <w:p>
      <w:pPr>
        <w:pStyle w:val="2"/>
        <w:keepNext w:val="0"/>
        <w:keepLines w:val="0"/>
        <w:pageBreakBefore w:val="0"/>
        <w:widowControl w:val="0"/>
        <w:kinsoku/>
        <w:wordWrap/>
        <w:overflowPunct/>
        <w:topLinePunct w:val="0"/>
        <w:autoSpaceDE/>
        <w:autoSpaceDN/>
        <w:bidi w:val="0"/>
        <w:adjustRightInd w:val="0"/>
        <w:snapToGrid w:val="0"/>
        <w:spacing w:line="579" w:lineRule="exact"/>
        <w:ind w:firstLine="64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其中：</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outlineLvl w:val="9"/>
        <w:rPr>
          <w:rFonts w:hint="default" w:ascii="Times New Roman" w:hAnsi="Times New Roman" w:eastAsia="仿宋" w:cs="Times New Roman"/>
          <w:snapToGrid w:val="0"/>
          <w:color w:val="000000"/>
          <w:kern w:val="0"/>
          <w:sz w:val="32"/>
          <w:szCs w:val="32"/>
        </w:rPr>
      </w:pPr>
      <w:r>
        <w:rPr>
          <w:rFonts w:hint="default" w:ascii="Times New Roman" w:hAnsi="Times New Roman" w:eastAsia="仿宋" w:cs="Times New Roman"/>
          <w:snapToGrid w:val="0"/>
          <w:kern w:val="0"/>
          <w:sz w:val="32"/>
          <w:szCs w:val="32"/>
        </w:rPr>
        <w:t>1.</w:t>
      </w:r>
      <w:r>
        <w:rPr>
          <w:rFonts w:hint="default" w:ascii="Times New Roman" w:hAnsi="Times New Roman" w:eastAsia="仿宋" w:cs="Times New Roman"/>
          <w:snapToGrid w:val="0"/>
          <w:color w:val="000000"/>
          <w:kern w:val="0"/>
          <w:sz w:val="32"/>
          <w:szCs w:val="32"/>
        </w:rPr>
        <w:t xml:space="preserve"> 国有土地使用权出让收入安排的支出</w:t>
      </w:r>
      <w:r>
        <w:rPr>
          <w:rFonts w:hint="eastAsia" w:ascii="Times New Roman" w:hAnsi="Times New Roman" w:eastAsia="仿宋" w:cs="Times New Roman"/>
          <w:snapToGrid w:val="0"/>
          <w:color w:val="000000"/>
          <w:kern w:val="0"/>
          <w:sz w:val="32"/>
          <w:szCs w:val="32"/>
          <w:lang w:val="en-US" w:eastAsia="zh-CN"/>
        </w:rPr>
        <w:t>3874</w:t>
      </w:r>
      <w:r>
        <w:rPr>
          <w:rFonts w:hint="default" w:ascii="Times New Roman" w:hAnsi="Times New Roman" w:eastAsia="仿宋" w:cs="Times New Roman"/>
          <w:snapToGrid w:val="0"/>
          <w:color w:val="000000"/>
          <w:kern w:val="0"/>
          <w:sz w:val="32"/>
          <w:szCs w:val="32"/>
        </w:rPr>
        <w:t>万元，占调整预算的100%，较上年少支</w:t>
      </w:r>
      <w:r>
        <w:rPr>
          <w:rFonts w:hint="eastAsia" w:ascii="Times New Roman" w:hAnsi="Times New Roman" w:eastAsia="仿宋" w:cs="Times New Roman"/>
          <w:snapToGrid w:val="0"/>
          <w:color w:val="000000"/>
          <w:kern w:val="0"/>
          <w:sz w:val="32"/>
          <w:szCs w:val="32"/>
          <w:lang w:val="en-US" w:eastAsia="zh-CN"/>
        </w:rPr>
        <w:t>207</w:t>
      </w:r>
      <w:r>
        <w:rPr>
          <w:rFonts w:hint="default" w:ascii="Times New Roman" w:hAnsi="Times New Roman" w:eastAsia="仿宋" w:cs="Times New Roman"/>
          <w:snapToGrid w:val="0"/>
          <w:color w:val="000000"/>
          <w:kern w:val="0"/>
          <w:sz w:val="32"/>
          <w:szCs w:val="32"/>
        </w:rPr>
        <w:t>万元，下降</w:t>
      </w:r>
      <w:r>
        <w:rPr>
          <w:rFonts w:hint="eastAsia" w:ascii="Times New Roman" w:hAnsi="Times New Roman" w:eastAsia="仿宋" w:cs="Times New Roman"/>
          <w:snapToGrid w:val="0"/>
          <w:color w:val="000000"/>
          <w:kern w:val="0"/>
          <w:sz w:val="32"/>
          <w:szCs w:val="32"/>
          <w:lang w:val="en-US" w:eastAsia="zh-CN"/>
        </w:rPr>
        <w:t>5.1</w:t>
      </w:r>
      <w:r>
        <w:rPr>
          <w:rFonts w:hint="default" w:ascii="Times New Roman" w:hAnsi="Times New Roman" w:eastAsia="仿宋" w:cs="Times New Roman"/>
          <w:snapToGrid w:val="0"/>
          <w:color w:val="000000"/>
          <w:kern w:val="0"/>
          <w:sz w:val="32"/>
          <w:szCs w:val="32"/>
        </w:rPr>
        <w:t>%；</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outlineLvl w:val="9"/>
        <w:rPr>
          <w:rFonts w:hint="default" w:ascii="Times New Roman" w:hAnsi="Times New Roman" w:eastAsia="仿宋" w:cs="Times New Roman"/>
          <w:snapToGrid w:val="0"/>
          <w:color w:val="000000"/>
          <w:kern w:val="0"/>
          <w:sz w:val="32"/>
          <w:szCs w:val="32"/>
        </w:rPr>
      </w:pPr>
      <w:r>
        <w:rPr>
          <w:rFonts w:hint="default" w:ascii="Times New Roman" w:hAnsi="Times New Roman" w:eastAsia="仿宋" w:cs="Times New Roman"/>
          <w:snapToGrid w:val="0"/>
          <w:color w:val="000000"/>
          <w:kern w:val="0"/>
          <w:sz w:val="32"/>
          <w:szCs w:val="32"/>
        </w:rPr>
        <w:t>2.城市基础设施配套费对应专项债务收入安排的支出</w:t>
      </w:r>
      <w:r>
        <w:rPr>
          <w:rFonts w:hint="eastAsia" w:ascii="Times New Roman" w:hAnsi="Times New Roman" w:eastAsia="仿宋" w:cs="Times New Roman"/>
          <w:snapToGrid w:val="0"/>
          <w:color w:val="000000"/>
          <w:kern w:val="0"/>
          <w:sz w:val="32"/>
          <w:szCs w:val="32"/>
          <w:lang w:val="en-US" w:eastAsia="zh-CN"/>
        </w:rPr>
        <w:t>130</w:t>
      </w:r>
      <w:r>
        <w:rPr>
          <w:rFonts w:hint="default" w:ascii="Times New Roman" w:hAnsi="Times New Roman" w:eastAsia="仿宋" w:cs="Times New Roman"/>
          <w:snapToGrid w:val="0"/>
          <w:color w:val="000000"/>
          <w:kern w:val="0"/>
          <w:sz w:val="32"/>
          <w:szCs w:val="32"/>
        </w:rPr>
        <w:t>万元，占调整预算的100%，较上年</w:t>
      </w:r>
      <w:r>
        <w:rPr>
          <w:rFonts w:hint="eastAsia" w:ascii="Times New Roman" w:hAnsi="Times New Roman" w:eastAsia="仿宋" w:cs="Times New Roman"/>
          <w:snapToGrid w:val="0"/>
          <w:color w:val="000000"/>
          <w:kern w:val="0"/>
          <w:sz w:val="32"/>
          <w:szCs w:val="32"/>
          <w:lang w:eastAsia="zh-CN"/>
        </w:rPr>
        <w:t>少</w:t>
      </w:r>
      <w:r>
        <w:rPr>
          <w:rFonts w:hint="default" w:ascii="Times New Roman" w:hAnsi="Times New Roman" w:eastAsia="仿宋" w:cs="Times New Roman"/>
          <w:snapToGrid w:val="0"/>
          <w:color w:val="000000"/>
          <w:kern w:val="0"/>
          <w:sz w:val="32"/>
          <w:szCs w:val="32"/>
        </w:rPr>
        <w:t>支</w:t>
      </w:r>
      <w:r>
        <w:rPr>
          <w:rFonts w:hint="eastAsia" w:ascii="Times New Roman" w:hAnsi="Times New Roman" w:eastAsia="仿宋" w:cs="Times New Roman"/>
          <w:snapToGrid w:val="0"/>
          <w:color w:val="000000"/>
          <w:kern w:val="0"/>
          <w:sz w:val="32"/>
          <w:szCs w:val="32"/>
          <w:lang w:val="en-US" w:eastAsia="zh-CN"/>
        </w:rPr>
        <w:t>350</w:t>
      </w:r>
      <w:r>
        <w:rPr>
          <w:rFonts w:hint="default" w:ascii="Times New Roman" w:hAnsi="Times New Roman" w:eastAsia="仿宋" w:cs="Times New Roman"/>
          <w:snapToGrid w:val="0"/>
          <w:color w:val="000000"/>
          <w:kern w:val="0"/>
          <w:sz w:val="32"/>
          <w:szCs w:val="32"/>
        </w:rPr>
        <w:t>万元，</w:t>
      </w:r>
      <w:r>
        <w:rPr>
          <w:rFonts w:hint="eastAsia" w:ascii="Times New Roman" w:hAnsi="Times New Roman" w:eastAsia="仿宋" w:cs="Times New Roman"/>
          <w:snapToGrid w:val="0"/>
          <w:color w:val="000000"/>
          <w:kern w:val="0"/>
          <w:sz w:val="32"/>
          <w:szCs w:val="32"/>
          <w:lang w:eastAsia="zh-CN"/>
        </w:rPr>
        <w:t>下降</w:t>
      </w:r>
      <w:r>
        <w:rPr>
          <w:rFonts w:hint="eastAsia" w:ascii="Times New Roman" w:hAnsi="Times New Roman" w:eastAsia="仿宋" w:cs="Times New Roman"/>
          <w:snapToGrid w:val="0"/>
          <w:color w:val="000000"/>
          <w:kern w:val="0"/>
          <w:sz w:val="32"/>
          <w:szCs w:val="32"/>
          <w:lang w:val="en-US" w:eastAsia="zh-CN"/>
        </w:rPr>
        <w:t>72.9</w:t>
      </w:r>
      <w:r>
        <w:rPr>
          <w:rFonts w:hint="default" w:ascii="Times New Roman" w:hAnsi="Times New Roman" w:eastAsia="仿宋" w:cs="Times New Roman"/>
          <w:snapToGrid w:val="0"/>
          <w:color w:val="000000"/>
          <w:kern w:val="0"/>
          <w:sz w:val="32"/>
          <w:szCs w:val="32"/>
        </w:rPr>
        <w:t>%；</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outlineLvl w:val="9"/>
        <w:rPr>
          <w:rFonts w:hint="default" w:ascii="Times New Roman" w:hAnsi="Times New Roman" w:eastAsia="仿宋" w:cs="Times New Roman"/>
          <w:snapToGrid w:val="0"/>
          <w:color w:val="000000"/>
          <w:kern w:val="0"/>
          <w:sz w:val="32"/>
          <w:szCs w:val="32"/>
        </w:rPr>
      </w:pPr>
      <w:r>
        <w:rPr>
          <w:rFonts w:hint="default" w:ascii="Times New Roman" w:hAnsi="Times New Roman" w:eastAsia="仿宋" w:cs="Times New Roman"/>
          <w:snapToGrid w:val="0"/>
          <w:color w:val="000000"/>
          <w:kern w:val="0"/>
          <w:sz w:val="32"/>
          <w:szCs w:val="32"/>
        </w:rPr>
        <w:t>3.彩票公益金对应专项债务收入安排的支出</w:t>
      </w:r>
      <w:r>
        <w:rPr>
          <w:rFonts w:hint="eastAsia" w:ascii="Times New Roman" w:hAnsi="Times New Roman" w:eastAsia="仿宋" w:cs="Times New Roman"/>
          <w:snapToGrid w:val="0"/>
          <w:color w:val="000000"/>
          <w:kern w:val="0"/>
          <w:sz w:val="32"/>
          <w:szCs w:val="32"/>
          <w:lang w:val="en-US" w:eastAsia="zh-CN"/>
        </w:rPr>
        <w:t>487</w:t>
      </w:r>
      <w:r>
        <w:rPr>
          <w:rFonts w:hint="default" w:ascii="Times New Roman" w:hAnsi="Times New Roman" w:eastAsia="仿宋" w:cs="Times New Roman"/>
          <w:snapToGrid w:val="0"/>
          <w:color w:val="000000"/>
          <w:kern w:val="0"/>
          <w:sz w:val="32"/>
          <w:szCs w:val="32"/>
        </w:rPr>
        <w:t>万元，占调整预算的100%，较上年少支</w:t>
      </w:r>
      <w:r>
        <w:rPr>
          <w:rFonts w:hint="eastAsia" w:ascii="Times New Roman" w:hAnsi="Times New Roman" w:eastAsia="仿宋" w:cs="Times New Roman"/>
          <w:snapToGrid w:val="0"/>
          <w:color w:val="000000"/>
          <w:kern w:val="0"/>
          <w:sz w:val="32"/>
          <w:szCs w:val="32"/>
          <w:lang w:val="en-US" w:eastAsia="zh-CN"/>
        </w:rPr>
        <w:t>99</w:t>
      </w:r>
      <w:r>
        <w:rPr>
          <w:rFonts w:hint="default" w:ascii="Times New Roman" w:hAnsi="Times New Roman" w:eastAsia="仿宋" w:cs="Times New Roman"/>
          <w:snapToGrid w:val="0"/>
          <w:color w:val="000000"/>
          <w:kern w:val="0"/>
          <w:sz w:val="32"/>
          <w:szCs w:val="32"/>
        </w:rPr>
        <w:t>万元，下降</w:t>
      </w:r>
      <w:r>
        <w:rPr>
          <w:rFonts w:hint="eastAsia" w:ascii="Times New Roman" w:hAnsi="Times New Roman" w:eastAsia="仿宋" w:cs="Times New Roman"/>
          <w:snapToGrid w:val="0"/>
          <w:color w:val="000000"/>
          <w:kern w:val="0"/>
          <w:sz w:val="32"/>
          <w:szCs w:val="32"/>
          <w:lang w:val="en-US" w:eastAsia="zh-CN"/>
        </w:rPr>
        <w:t>16.9</w:t>
      </w:r>
      <w:r>
        <w:rPr>
          <w:rFonts w:hint="default" w:ascii="Times New Roman" w:hAnsi="Times New Roman" w:eastAsia="仿宋" w:cs="Times New Roman"/>
          <w:snapToGrid w:val="0"/>
          <w:color w:val="000000"/>
          <w:kern w:val="0"/>
          <w:sz w:val="32"/>
          <w:szCs w:val="32"/>
        </w:rPr>
        <w:t>%；</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outlineLvl w:val="9"/>
        <w:rPr>
          <w:rFonts w:hint="default" w:ascii="Times New Roman" w:hAnsi="Times New Roman" w:eastAsia="仿宋" w:cs="Times New Roman"/>
          <w:snapToGrid w:val="0"/>
          <w:color w:val="000000"/>
          <w:kern w:val="0"/>
          <w:sz w:val="32"/>
          <w:szCs w:val="32"/>
        </w:rPr>
      </w:pPr>
      <w:r>
        <w:rPr>
          <w:rFonts w:hint="default" w:ascii="Times New Roman" w:hAnsi="Times New Roman" w:eastAsia="仿宋" w:cs="Times New Roman"/>
          <w:snapToGrid w:val="0"/>
          <w:color w:val="000000"/>
          <w:kern w:val="0"/>
          <w:sz w:val="32"/>
          <w:szCs w:val="32"/>
        </w:rPr>
        <w:t>4.旅游发展基金支出</w:t>
      </w:r>
      <w:r>
        <w:rPr>
          <w:rFonts w:hint="eastAsia" w:ascii="Times New Roman" w:hAnsi="Times New Roman" w:eastAsia="仿宋" w:cs="Times New Roman"/>
          <w:snapToGrid w:val="0"/>
          <w:color w:val="000000"/>
          <w:kern w:val="0"/>
          <w:sz w:val="32"/>
          <w:szCs w:val="32"/>
          <w:lang w:val="en-US" w:eastAsia="zh-CN"/>
        </w:rPr>
        <w:t>13</w:t>
      </w:r>
      <w:r>
        <w:rPr>
          <w:rFonts w:hint="default" w:ascii="Times New Roman" w:hAnsi="Times New Roman" w:eastAsia="仿宋" w:cs="Times New Roman"/>
          <w:snapToGrid w:val="0"/>
          <w:color w:val="000000"/>
          <w:kern w:val="0"/>
          <w:sz w:val="32"/>
          <w:szCs w:val="32"/>
        </w:rPr>
        <w:t>万元，占调整预算的100%，较上年少支</w:t>
      </w:r>
      <w:r>
        <w:rPr>
          <w:rFonts w:hint="eastAsia" w:ascii="Times New Roman" w:hAnsi="Times New Roman" w:eastAsia="仿宋" w:cs="Times New Roman"/>
          <w:snapToGrid w:val="0"/>
          <w:color w:val="000000"/>
          <w:kern w:val="0"/>
          <w:sz w:val="32"/>
          <w:szCs w:val="32"/>
          <w:lang w:val="en-US" w:eastAsia="zh-CN"/>
        </w:rPr>
        <w:t>3</w:t>
      </w:r>
      <w:r>
        <w:rPr>
          <w:rFonts w:hint="default" w:ascii="Times New Roman" w:hAnsi="Times New Roman" w:eastAsia="仿宋" w:cs="Times New Roman"/>
          <w:snapToGrid w:val="0"/>
          <w:color w:val="000000"/>
          <w:kern w:val="0"/>
          <w:sz w:val="32"/>
          <w:szCs w:val="32"/>
        </w:rPr>
        <w:t>万元，下降</w:t>
      </w:r>
      <w:r>
        <w:rPr>
          <w:rFonts w:hint="eastAsia" w:ascii="Times New Roman" w:hAnsi="Times New Roman" w:eastAsia="仿宋" w:cs="Times New Roman"/>
          <w:snapToGrid w:val="0"/>
          <w:color w:val="000000"/>
          <w:kern w:val="0"/>
          <w:sz w:val="32"/>
          <w:szCs w:val="32"/>
          <w:lang w:val="en-US" w:eastAsia="zh-CN"/>
        </w:rPr>
        <w:t>18.8</w:t>
      </w:r>
      <w:r>
        <w:rPr>
          <w:rFonts w:hint="default" w:ascii="Times New Roman" w:hAnsi="Times New Roman" w:eastAsia="仿宋" w:cs="Times New Roman"/>
          <w:snapToGrid w:val="0"/>
          <w:color w:val="000000"/>
          <w:kern w:val="0"/>
          <w:sz w:val="32"/>
          <w:szCs w:val="32"/>
        </w:rPr>
        <w:t>%；</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outlineLvl w:val="9"/>
        <w:rPr>
          <w:rFonts w:hint="default" w:ascii="Times New Roman" w:hAnsi="Times New Roman" w:eastAsia="仿宋" w:cs="Times New Roman"/>
          <w:snapToGrid w:val="0"/>
          <w:color w:val="000000"/>
          <w:kern w:val="0"/>
          <w:sz w:val="32"/>
          <w:szCs w:val="32"/>
          <w:lang w:val="en-US"/>
        </w:rPr>
      </w:pPr>
      <w:r>
        <w:rPr>
          <w:rFonts w:hint="eastAsia" w:ascii="Times New Roman" w:hAnsi="Times New Roman" w:eastAsia="仿宋" w:cs="Times New Roman"/>
          <w:snapToGrid w:val="0"/>
          <w:color w:val="000000"/>
          <w:kern w:val="0"/>
          <w:sz w:val="32"/>
          <w:szCs w:val="32"/>
          <w:lang w:val="en-US" w:eastAsia="zh-CN"/>
        </w:rPr>
        <w:t>5</w:t>
      </w:r>
      <w:r>
        <w:rPr>
          <w:rFonts w:hint="default" w:ascii="Times New Roman" w:hAnsi="Times New Roman" w:eastAsia="仿宋" w:cs="Times New Roman"/>
          <w:snapToGrid w:val="0"/>
          <w:color w:val="000000"/>
          <w:kern w:val="0"/>
          <w:sz w:val="32"/>
          <w:szCs w:val="32"/>
        </w:rPr>
        <w:t>.其他地方自行试点项目收益专项债券收入安排的支出</w:t>
      </w:r>
      <w:r>
        <w:rPr>
          <w:rFonts w:hint="eastAsia" w:ascii="Times New Roman" w:hAnsi="Times New Roman" w:eastAsia="仿宋" w:cs="Times New Roman"/>
          <w:snapToGrid w:val="0"/>
          <w:color w:val="000000"/>
          <w:kern w:val="0"/>
          <w:sz w:val="32"/>
          <w:szCs w:val="32"/>
          <w:lang w:val="en-US" w:eastAsia="zh-CN"/>
        </w:rPr>
        <w:t>11000</w:t>
      </w:r>
      <w:r>
        <w:rPr>
          <w:rFonts w:hint="default" w:ascii="Times New Roman" w:hAnsi="Times New Roman" w:eastAsia="仿宋" w:cs="Times New Roman"/>
          <w:snapToGrid w:val="0"/>
          <w:color w:val="000000"/>
          <w:kern w:val="0"/>
          <w:sz w:val="32"/>
          <w:szCs w:val="32"/>
        </w:rPr>
        <w:t>万元，占调整预算的100%；较上年</w:t>
      </w:r>
      <w:r>
        <w:rPr>
          <w:rFonts w:hint="eastAsia" w:ascii="Times New Roman" w:hAnsi="Times New Roman" w:eastAsia="仿宋" w:cs="Times New Roman"/>
          <w:snapToGrid w:val="0"/>
          <w:color w:val="000000"/>
          <w:kern w:val="0"/>
          <w:sz w:val="32"/>
          <w:szCs w:val="32"/>
          <w:lang w:eastAsia="zh-CN"/>
        </w:rPr>
        <w:t>多</w:t>
      </w:r>
      <w:r>
        <w:rPr>
          <w:rFonts w:hint="default" w:ascii="Times New Roman" w:hAnsi="Times New Roman" w:eastAsia="仿宋" w:cs="Times New Roman"/>
          <w:snapToGrid w:val="0"/>
          <w:color w:val="000000"/>
          <w:kern w:val="0"/>
          <w:sz w:val="32"/>
          <w:szCs w:val="32"/>
        </w:rPr>
        <w:t>支</w:t>
      </w:r>
      <w:r>
        <w:rPr>
          <w:rFonts w:hint="eastAsia" w:ascii="Times New Roman" w:hAnsi="Times New Roman" w:eastAsia="仿宋" w:cs="Times New Roman"/>
          <w:snapToGrid w:val="0"/>
          <w:color w:val="000000"/>
          <w:kern w:val="0"/>
          <w:sz w:val="32"/>
          <w:szCs w:val="32"/>
          <w:lang w:val="en-US" w:eastAsia="zh-CN"/>
        </w:rPr>
        <w:t>9000</w:t>
      </w:r>
      <w:r>
        <w:rPr>
          <w:rFonts w:hint="default" w:ascii="Times New Roman" w:hAnsi="Times New Roman" w:eastAsia="仿宋" w:cs="Times New Roman"/>
          <w:snapToGrid w:val="0"/>
          <w:color w:val="000000"/>
          <w:kern w:val="0"/>
          <w:sz w:val="32"/>
          <w:szCs w:val="32"/>
        </w:rPr>
        <w:t>万元，</w:t>
      </w:r>
      <w:r>
        <w:rPr>
          <w:rFonts w:hint="eastAsia" w:ascii="Times New Roman" w:hAnsi="Times New Roman" w:eastAsia="仿宋" w:cs="Times New Roman"/>
          <w:snapToGrid w:val="0"/>
          <w:color w:val="000000"/>
          <w:kern w:val="0"/>
          <w:sz w:val="32"/>
          <w:szCs w:val="32"/>
          <w:lang w:eastAsia="zh-CN"/>
        </w:rPr>
        <w:t>增长</w:t>
      </w:r>
      <w:r>
        <w:rPr>
          <w:rFonts w:hint="eastAsia" w:ascii="Times New Roman" w:hAnsi="Times New Roman" w:eastAsia="仿宋" w:cs="Times New Roman"/>
          <w:snapToGrid w:val="0"/>
          <w:color w:val="000000"/>
          <w:kern w:val="0"/>
          <w:sz w:val="32"/>
          <w:szCs w:val="32"/>
          <w:lang w:val="en-US" w:eastAsia="zh-CN"/>
        </w:rPr>
        <w:t>4.5倍；</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outlineLvl w:val="9"/>
        <w:rPr>
          <w:rFonts w:hint="default" w:ascii="Times New Roman" w:hAnsi="Times New Roman" w:eastAsia="仿宋" w:cs="Times New Roman"/>
          <w:snapToGrid w:val="0"/>
          <w:color w:val="000000"/>
          <w:kern w:val="0"/>
          <w:sz w:val="32"/>
          <w:szCs w:val="32"/>
          <w:lang w:val="en-US"/>
        </w:rPr>
      </w:pPr>
      <w:r>
        <w:rPr>
          <w:rFonts w:hint="eastAsia" w:ascii="Times New Roman" w:hAnsi="Times New Roman" w:eastAsia="仿宋" w:cs="Times New Roman"/>
          <w:snapToGrid w:val="0"/>
          <w:color w:val="000000"/>
          <w:kern w:val="0"/>
          <w:sz w:val="32"/>
          <w:szCs w:val="32"/>
          <w:lang w:val="en-US" w:eastAsia="zh-CN"/>
        </w:rPr>
        <w:t>6</w:t>
      </w:r>
      <w:r>
        <w:rPr>
          <w:rFonts w:hint="default" w:ascii="Times New Roman" w:hAnsi="Times New Roman" w:eastAsia="仿宋" w:cs="Times New Roman"/>
          <w:snapToGrid w:val="0"/>
          <w:color w:val="000000"/>
          <w:kern w:val="0"/>
          <w:sz w:val="32"/>
          <w:szCs w:val="32"/>
        </w:rPr>
        <w:t>.其他地方政府专项债券付息支出</w:t>
      </w:r>
      <w:r>
        <w:rPr>
          <w:rFonts w:hint="eastAsia" w:ascii="Times New Roman" w:hAnsi="Times New Roman" w:eastAsia="仿宋" w:cs="Times New Roman"/>
          <w:snapToGrid w:val="0"/>
          <w:color w:val="000000"/>
          <w:kern w:val="0"/>
          <w:sz w:val="32"/>
          <w:szCs w:val="32"/>
          <w:lang w:val="en-US" w:eastAsia="zh-CN"/>
        </w:rPr>
        <w:t>543</w:t>
      </w:r>
      <w:r>
        <w:rPr>
          <w:rFonts w:hint="default" w:ascii="Times New Roman" w:hAnsi="Times New Roman" w:eastAsia="仿宋" w:cs="Times New Roman"/>
          <w:snapToGrid w:val="0"/>
          <w:color w:val="000000"/>
          <w:kern w:val="0"/>
          <w:sz w:val="32"/>
          <w:szCs w:val="32"/>
        </w:rPr>
        <w:t>万元，占调整预算的100%，较上年</w:t>
      </w:r>
      <w:r>
        <w:rPr>
          <w:rFonts w:hint="eastAsia" w:ascii="Times New Roman" w:hAnsi="Times New Roman" w:eastAsia="仿宋" w:cs="Times New Roman"/>
          <w:snapToGrid w:val="0"/>
          <w:color w:val="000000"/>
          <w:kern w:val="0"/>
          <w:sz w:val="32"/>
          <w:szCs w:val="32"/>
          <w:lang w:eastAsia="zh-CN"/>
        </w:rPr>
        <w:t>多</w:t>
      </w:r>
      <w:r>
        <w:rPr>
          <w:rFonts w:hint="default" w:ascii="Times New Roman" w:hAnsi="Times New Roman" w:eastAsia="仿宋" w:cs="Times New Roman"/>
          <w:snapToGrid w:val="0"/>
          <w:color w:val="000000"/>
          <w:kern w:val="0"/>
          <w:sz w:val="32"/>
          <w:szCs w:val="32"/>
        </w:rPr>
        <w:t>支</w:t>
      </w:r>
      <w:r>
        <w:rPr>
          <w:rFonts w:hint="eastAsia" w:ascii="Times New Roman" w:hAnsi="Times New Roman" w:eastAsia="仿宋" w:cs="Times New Roman"/>
          <w:snapToGrid w:val="0"/>
          <w:color w:val="000000"/>
          <w:kern w:val="0"/>
          <w:sz w:val="32"/>
          <w:szCs w:val="32"/>
          <w:lang w:val="en-US" w:eastAsia="zh-CN"/>
        </w:rPr>
        <w:t>391</w:t>
      </w:r>
      <w:r>
        <w:rPr>
          <w:rFonts w:hint="default" w:ascii="Times New Roman" w:hAnsi="Times New Roman" w:eastAsia="仿宋" w:cs="Times New Roman"/>
          <w:snapToGrid w:val="0"/>
          <w:color w:val="000000"/>
          <w:kern w:val="0"/>
          <w:sz w:val="32"/>
          <w:szCs w:val="32"/>
        </w:rPr>
        <w:t>万元，</w:t>
      </w:r>
      <w:r>
        <w:rPr>
          <w:rFonts w:hint="eastAsia" w:ascii="Times New Roman" w:hAnsi="Times New Roman" w:eastAsia="仿宋" w:cs="Times New Roman"/>
          <w:snapToGrid w:val="0"/>
          <w:color w:val="000000"/>
          <w:kern w:val="0"/>
          <w:sz w:val="32"/>
          <w:szCs w:val="32"/>
          <w:lang w:eastAsia="zh-CN"/>
        </w:rPr>
        <w:t>增长</w:t>
      </w:r>
      <w:r>
        <w:rPr>
          <w:rFonts w:hint="eastAsia" w:ascii="Times New Roman" w:hAnsi="Times New Roman" w:eastAsia="仿宋" w:cs="Times New Roman"/>
          <w:snapToGrid w:val="0"/>
          <w:color w:val="000000"/>
          <w:kern w:val="0"/>
          <w:sz w:val="32"/>
          <w:szCs w:val="32"/>
          <w:lang w:val="en-US" w:eastAsia="zh-CN"/>
        </w:rPr>
        <w:t>2.6倍；</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outlineLvl w:val="9"/>
        <w:rPr>
          <w:rFonts w:hint="eastAsia" w:ascii="Times New Roman" w:hAnsi="Times New Roman" w:eastAsia="仿宋" w:cs="Times New Roman"/>
          <w:snapToGrid w:val="0"/>
          <w:color w:val="000000"/>
          <w:kern w:val="0"/>
          <w:sz w:val="32"/>
          <w:szCs w:val="32"/>
          <w:lang w:val="en-US" w:eastAsia="zh-CN"/>
        </w:rPr>
      </w:pPr>
      <w:r>
        <w:rPr>
          <w:rFonts w:hint="eastAsia" w:ascii="Times New Roman" w:hAnsi="Times New Roman" w:eastAsia="仿宋" w:cs="Times New Roman"/>
          <w:snapToGrid w:val="0"/>
          <w:color w:val="000000"/>
          <w:kern w:val="0"/>
          <w:sz w:val="32"/>
          <w:szCs w:val="32"/>
          <w:lang w:val="en-US" w:eastAsia="zh-CN"/>
        </w:rPr>
        <w:t>7</w:t>
      </w:r>
      <w:r>
        <w:rPr>
          <w:rFonts w:hint="default" w:ascii="Times New Roman" w:hAnsi="Times New Roman" w:eastAsia="仿宋" w:cs="Times New Roman"/>
          <w:snapToGrid w:val="0"/>
          <w:color w:val="000000"/>
          <w:kern w:val="0"/>
          <w:sz w:val="32"/>
          <w:szCs w:val="32"/>
        </w:rPr>
        <w:t>.地方政府专项债券发行费用支出</w:t>
      </w:r>
      <w:r>
        <w:rPr>
          <w:rFonts w:hint="eastAsia" w:ascii="Times New Roman" w:hAnsi="Times New Roman" w:eastAsia="仿宋" w:cs="Times New Roman"/>
          <w:snapToGrid w:val="0"/>
          <w:color w:val="000000"/>
          <w:kern w:val="0"/>
          <w:sz w:val="32"/>
          <w:szCs w:val="32"/>
          <w:lang w:val="en-US" w:eastAsia="zh-CN"/>
        </w:rPr>
        <w:t>12</w:t>
      </w:r>
      <w:r>
        <w:rPr>
          <w:rFonts w:hint="default" w:ascii="Times New Roman" w:hAnsi="Times New Roman" w:eastAsia="仿宋" w:cs="Times New Roman"/>
          <w:snapToGrid w:val="0"/>
          <w:color w:val="000000"/>
          <w:kern w:val="0"/>
          <w:sz w:val="32"/>
          <w:szCs w:val="32"/>
        </w:rPr>
        <w:t>万元</w:t>
      </w:r>
      <w:r>
        <w:rPr>
          <w:rFonts w:hint="eastAsia" w:ascii="Times New Roman" w:hAnsi="Times New Roman" w:eastAsia="仿宋" w:cs="Times New Roman"/>
          <w:snapToGrid w:val="0"/>
          <w:color w:val="000000"/>
          <w:kern w:val="0"/>
          <w:sz w:val="32"/>
          <w:szCs w:val="32"/>
          <w:lang w:eastAsia="zh-CN"/>
        </w:rPr>
        <w:t>，</w:t>
      </w:r>
      <w:r>
        <w:rPr>
          <w:rFonts w:hint="default" w:ascii="Times New Roman" w:hAnsi="Times New Roman" w:eastAsia="仿宋" w:cs="Times New Roman"/>
          <w:snapToGrid w:val="0"/>
          <w:color w:val="000000"/>
          <w:kern w:val="0"/>
          <w:sz w:val="32"/>
          <w:szCs w:val="32"/>
        </w:rPr>
        <w:t>较上年</w:t>
      </w:r>
      <w:r>
        <w:rPr>
          <w:rFonts w:hint="eastAsia" w:ascii="Times New Roman" w:hAnsi="Times New Roman" w:eastAsia="仿宋" w:cs="Times New Roman"/>
          <w:snapToGrid w:val="0"/>
          <w:color w:val="000000"/>
          <w:kern w:val="0"/>
          <w:sz w:val="32"/>
          <w:szCs w:val="32"/>
          <w:lang w:eastAsia="zh-CN"/>
        </w:rPr>
        <w:t>多</w:t>
      </w:r>
      <w:r>
        <w:rPr>
          <w:rFonts w:hint="default" w:ascii="Times New Roman" w:hAnsi="Times New Roman" w:eastAsia="仿宋" w:cs="Times New Roman"/>
          <w:snapToGrid w:val="0"/>
          <w:color w:val="000000"/>
          <w:kern w:val="0"/>
          <w:sz w:val="32"/>
          <w:szCs w:val="32"/>
        </w:rPr>
        <w:t>支</w:t>
      </w:r>
      <w:r>
        <w:rPr>
          <w:rFonts w:hint="eastAsia" w:ascii="Times New Roman" w:hAnsi="Times New Roman" w:eastAsia="仿宋" w:cs="Times New Roman"/>
          <w:snapToGrid w:val="0"/>
          <w:color w:val="000000"/>
          <w:kern w:val="0"/>
          <w:sz w:val="32"/>
          <w:szCs w:val="32"/>
          <w:lang w:val="en-US" w:eastAsia="zh-CN"/>
        </w:rPr>
        <w:t>5</w:t>
      </w:r>
      <w:r>
        <w:rPr>
          <w:rFonts w:hint="default" w:ascii="Times New Roman" w:hAnsi="Times New Roman" w:eastAsia="仿宋" w:cs="Times New Roman"/>
          <w:snapToGrid w:val="0"/>
          <w:color w:val="000000"/>
          <w:kern w:val="0"/>
          <w:sz w:val="32"/>
          <w:szCs w:val="32"/>
        </w:rPr>
        <w:t>万元，</w:t>
      </w:r>
      <w:r>
        <w:rPr>
          <w:rFonts w:hint="eastAsia" w:ascii="Times New Roman" w:hAnsi="Times New Roman" w:eastAsia="仿宋" w:cs="Times New Roman"/>
          <w:snapToGrid w:val="0"/>
          <w:color w:val="000000"/>
          <w:kern w:val="0"/>
          <w:sz w:val="32"/>
          <w:szCs w:val="32"/>
          <w:lang w:eastAsia="zh-CN"/>
        </w:rPr>
        <w:t>增长</w:t>
      </w:r>
      <w:r>
        <w:rPr>
          <w:rFonts w:hint="eastAsia" w:ascii="Times New Roman" w:hAnsi="Times New Roman" w:eastAsia="仿宋" w:cs="Times New Roman"/>
          <w:snapToGrid w:val="0"/>
          <w:color w:val="000000"/>
          <w:kern w:val="0"/>
          <w:sz w:val="32"/>
          <w:szCs w:val="32"/>
          <w:lang w:val="en-US" w:eastAsia="zh-CN"/>
        </w:rPr>
        <w:t>71.4%；</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outlineLvl w:val="9"/>
        <w:rPr>
          <w:rFonts w:hint="eastAsia" w:ascii="Times New Roman" w:hAnsi="Times New Roman" w:eastAsia="仿宋" w:cs="Times New Roman"/>
          <w:snapToGrid w:val="0"/>
          <w:color w:val="000000"/>
          <w:kern w:val="0"/>
          <w:sz w:val="32"/>
          <w:szCs w:val="32"/>
          <w:lang w:val="en-US" w:eastAsia="zh-CN"/>
        </w:rPr>
      </w:pPr>
      <w:r>
        <w:rPr>
          <w:rFonts w:hint="eastAsia" w:ascii="Times New Roman" w:hAnsi="Times New Roman" w:eastAsia="仿宋" w:cs="Times New Roman"/>
          <w:snapToGrid w:val="0"/>
          <w:color w:val="000000"/>
          <w:kern w:val="0"/>
          <w:sz w:val="32"/>
          <w:szCs w:val="32"/>
          <w:lang w:val="en-US" w:eastAsia="zh-CN"/>
        </w:rPr>
        <w:t>8.抗疫特别国债安排的支出5850万元，</w:t>
      </w:r>
      <w:r>
        <w:rPr>
          <w:rFonts w:hint="default" w:ascii="Times New Roman" w:hAnsi="Times New Roman" w:eastAsia="仿宋" w:cs="Times New Roman"/>
          <w:snapToGrid w:val="0"/>
          <w:color w:val="000000"/>
          <w:kern w:val="0"/>
          <w:sz w:val="32"/>
          <w:szCs w:val="32"/>
        </w:rPr>
        <w:t>占调整预算的100%</w:t>
      </w:r>
      <w:r>
        <w:rPr>
          <w:rFonts w:hint="eastAsia" w:ascii="Times New Roman" w:hAnsi="Times New Roman" w:eastAsia="仿宋" w:cs="Times New Roman"/>
          <w:snapToGrid w:val="0"/>
          <w:color w:val="000000"/>
          <w:kern w:val="0"/>
          <w:sz w:val="32"/>
          <w:szCs w:val="32"/>
          <w:lang w:eastAsia="zh-CN"/>
        </w:rPr>
        <w:t>。</w:t>
      </w:r>
    </w:p>
    <w:p>
      <w:pPr>
        <w:pStyle w:val="2"/>
        <w:keepNext w:val="0"/>
        <w:keepLines w:val="0"/>
        <w:pageBreakBefore w:val="0"/>
        <w:widowControl w:val="0"/>
        <w:kinsoku/>
        <w:wordWrap/>
        <w:overflowPunct/>
        <w:topLinePunct w:val="0"/>
        <w:autoSpaceDE/>
        <w:autoSpaceDN/>
        <w:bidi w:val="0"/>
        <w:adjustRightInd w:val="0"/>
        <w:snapToGrid w:val="0"/>
        <w:spacing w:line="579" w:lineRule="exact"/>
        <w:ind w:firstLine="640"/>
        <w:textAlignment w:val="auto"/>
        <w:outlineLvl w:val="9"/>
        <w:rPr>
          <w:rFonts w:hint="default" w:ascii="Times New Roman" w:hAnsi="Times New Roman" w:eastAsia="仿宋" w:cs="Times New Roman"/>
          <w:snapToGrid w:val="0"/>
          <w:sz w:val="32"/>
          <w:szCs w:val="32"/>
        </w:rPr>
      </w:pPr>
      <w:r>
        <w:rPr>
          <w:rFonts w:hint="default" w:ascii="Times New Roman" w:hAnsi="Times New Roman" w:eastAsia="仿宋" w:cs="Times New Roman"/>
          <w:snapToGrid w:val="0"/>
          <w:sz w:val="32"/>
          <w:szCs w:val="32"/>
        </w:rPr>
        <w:t>向一般公共预算调出</w:t>
      </w:r>
      <w:r>
        <w:rPr>
          <w:rFonts w:hint="eastAsia" w:ascii="Times New Roman" w:hAnsi="Times New Roman" w:eastAsia="仿宋" w:cs="Times New Roman"/>
          <w:snapToGrid w:val="0"/>
          <w:sz w:val="32"/>
          <w:szCs w:val="32"/>
          <w:lang w:val="en-US" w:eastAsia="zh-CN"/>
        </w:rPr>
        <w:t>4479</w:t>
      </w:r>
      <w:r>
        <w:rPr>
          <w:rFonts w:hint="default" w:ascii="Times New Roman" w:hAnsi="Times New Roman" w:eastAsia="仿宋" w:cs="Times New Roman"/>
          <w:snapToGrid w:val="0"/>
          <w:sz w:val="32"/>
          <w:szCs w:val="32"/>
        </w:rPr>
        <w:t>万元，结</w:t>
      </w:r>
      <w:r>
        <w:rPr>
          <w:rFonts w:hint="eastAsia" w:ascii="Times New Roman" w:hAnsi="Times New Roman" w:eastAsia="仿宋" w:cs="Times New Roman"/>
          <w:snapToGrid w:val="0"/>
          <w:sz w:val="32"/>
          <w:szCs w:val="32"/>
          <w:lang w:eastAsia="zh-CN"/>
        </w:rPr>
        <w:t>转下年</w:t>
      </w:r>
      <w:r>
        <w:rPr>
          <w:rFonts w:hint="eastAsia" w:ascii="Times New Roman" w:hAnsi="Times New Roman" w:eastAsia="仿宋" w:cs="Times New Roman"/>
          <w:snapToGrid w:val="0"/>
          <w:sz w:val="32"/>
          <w:szCs w:val="32"/>
          <w:lang w:val="en-US" w:eastAsia="zh-CN"/>
        </w:rPr>
        <w:t>632</w:t>
      </w:r>
      <w:r>
        <w:rPr>
          <w:rFonts w:hint="default" w:ascii="Times New Roman" w:hAnsi="Times New Roman" w:eastAsia="仿宋" w:cs="Times New Roman"/>
          <w:snapToGrid w:val="0"/>
          <w:sz w:val="32"/>
          <w:szCs w:val="32"/>
        </w:rPr>
        <w:t>万元</w:t>
      </w:r>
      <w:r>
        <w:rPr>
          <w:rFonts w:hint="eastAsia" w:ascii="Times New Roman" w:hAnsi="Times New Roman" w:eastAsia="仿宋" w:cs="Times New Roman"/>
          <w:snapToGrid w:val="0"/>
          <w:sz w:val="32"/>
          <w:szCs w:val="32"/>
          <w:lang w:eastAsia="zh-CN"/>
        </w:rPr>
        <w:t>，</w:t>
      </w:r>
      <w:r>
        <w:rPr>
          <w:rFonts w:hint="default" w:ascii="Times New Roman" w:hAnsi="Times New Roman" w:eastAsia="仿宋" w:cs="Times New Roman"/>
          <w:snapToGrid w:val="0"/>
          <w:sz w:val="32"/>
          <w:szCs w:val="32"/>
        </w:rPr>
        <w:t>使用的政府性基金支出总量为</w:t>
      </w:r>
      <w:r>
        <w:rPr>
          <w:rFonts w:hint="eastAsia" w:ascii="Times New Roman" w:hAnsi="Times New Roman" w:eastAsia="仿宋" w:cs="Times New Roman"/>
          <w:snapToGrid w:val="0"/>
          <w:sz w:val="32"/>
          <w:szCs w:val="32"/>
          <w:lang w:val="en-US" w:eastAsia="zh-CN"/>
        </w:rPr>
        <w:t>27020</w:t>
      </w:r>
      <w:r>
        <w:rPr>
          <w:rFonts w:hint="default" w:ascii="Times New Roman" w:hAnsi="Times New Roman" w:eastAsia="仿宋" w:cs="Times New Roman"/>
          <w:snapToGrid w:val="0"/>
          <w:sz w:val="32"/>
          <w:szCs w:val="32"/>
        </w:rPr>
        <w:t>万元，</w:t>
      </w:r>
      <w:r>
        <w:rPr>
          <w:rFonts w:hint="eastAsia" w:ascii="Times New Roman" w:hAnsi="Times New Roman" w:eastAsia="仿宋" w:cs="Times New Roman"/>
          <w:snapToGrid w:val="0"/>
          <w:sz w:val="32"/>
          <w:szCs w:val="32"/>
          <w:lang w:eastAsia="zh-CN"/>
        </w:rPr>
        <w:t>收支平衡</w:t>
      </w:r>
      <w:r>
        <w:rPr>
          <w:rFonts w:hint="default" w:ascii="Times New Roman" w:hAnsi="Times New Roman" w:eastAsia="仿宋" w:cs="Times New Roman"/>
          <w:snapToGrid w:val="0"/>
          <w:sz w:val="32"/>
          <w:szCs w:val="32"/>
        </w:rPr>
        <w:t>。</w:t>
      </w:r>
    </w:p>
    <w:p>
      <w:pPr>
        <w:pStyle w:val="2"/>
        <w:keepNext w:val="0"/>
        <w:keepLines w:val="0"/>
        <w:pageBreakBefore w:val="0"/>
        <w:widowControl w:val="0"/>
        <w:kinsoku/>
        <w:wordWrap/>
        <w:overflowPunct/>
        <w:topLinePunct w:val="0"/>
        <w:autoSpaceDE/>
        <w:autoSpaceDN/>
        <w:bidi w:val="0"/>
        <w:adjustRightInd w:val="0"/>
        <w:snapToGrid w:val="0"/>
        <w:spacing w:line="579" w:lineRule="exact"/>
        <w:ind w:firstLine="640"/>
        <w:textAlignment w:val="auto"/>
        <w:outlineLvl w:val="9"/>
        <w:rPr>
          <w:rFonts w:ascii="Times New Roman" w:hAnsi="Times New Roman" w:eastAsia="黑体" w:cs="Times New Roman"/>
          <w:sz w:val="32"/>
          <w:szCs w:val="32"/>
        </w:rPr>
      </w:pPr>
      <w:r>
        <w:rPr>
          <w:rFonts w:ascii="Times New Roman" w:hAnsi="Times New Roman" w:eastAsia="黑体" w:cs="Times New Roman"/>
          <w:sz w:val="32"/>
          <w:szCs w:val="32"/>
        </w:rPr>
        <w:t>二、相关政策说明</w:t>
      </w:r>
    </w:p>
    <w:p>
      <w:pPr>
        <w:pStyle w:val="2"/>
        <w:keepNext w:val="0"/>
        <w:keepLines w:val="0"/>
        <w:pageBreakBefore w:val="0"/>
        <w:widowControl w:val="0"/>
        <w:kinsoku/>
        <w:wordWrap/>
        <w:overflowPunct/>
        <w:topLinePunct w:val="0"/>
        <w:autoSpaceDE/>
        <w:autoSpaceDN/>
        <w:bidi w:val="0"/>
        <w:adjustRightInd w:val="0"/>
        <w:snapToGrid w:val="0"/>
        <w:spacing w:line="579" w:lineRule="exact"/>
        <w:ind w:firstLine="640"/>
        <w:textAlignment w:val="auto"/>
        <w:outlineLvl w:val="9"/>
        <w:rPr>
          <w:rFonts w:ascii="Times New Roman" w:hAnsi="Times New Roman" w:eastAsia="仿宋_GB2312" w:cs="Times New Roman"/>
          <w:sz w:val="32"/>
          <w:szCs w:val="32"/>
        </w:rPr>
      </w:pPr>
      <w:r>
        <w:rPr>
          <w:rFonts w:ascii="Times New Roman" w:hAnsi="Times New Roman" w:eastAsia="楷体_GB2312" w:cs="Times New Roman"/>
          <w:sz w:val="32"/>
          <w:szCs w:val="32"/>
        </w:rPr>
        <w:t>1.新增建设用地土地有偿使用费。</w:t>
      </w:r>
      <w:r>
        <w:rPr>
          <w:rFonts w:ascii="Times New Roman" w:hAnsi="Times New Roman" w:eastAsia="仿宋_GB2312" w:cs="Times New Roman"/>
          <w:sz w:val="32"/>
          <w:szCs w:val="32"/>
        </w:rPr>
        <w:t>2006年，财政部会同国土资源部、中国人民银行印发了《关于调整新增建设用地土地有偿使用费政策等问题的通知》（财综〔2006〕48号）。新增建设用地土地有偿使用费是国务院或省级人民政府在批准农用地转用、征用土地时，向取得出让等有偿使用方式的新增建设用地的县、市人民政府收取的费用。该基金收入30%上缴中央财政，70%上缴省级财政，专项用于基本农田建设和保护、土地整理和耕地开发等支出。根据财政部通知，从2017年起从政府性基金转列一般公共预算。</w:t>
      </w:r>
    </w:p>
    <w:p>
      <w:pPr>
        <w:pStyle w:val="2"/>
        <w:keepNext w:val="0"/>
        <w:keepLines w:val="0"/>
        <w:pageBreakBefore w:val="0"/>
        <w:widowControl w:val="0"/>
        <w:kinsoku/>
        <w:wordWrap/>
        <w:overflowPunct/>
        <w:topLinePunct w:val="0"/>
        <w:autoSpaceDE/>
        <w:autoSpaceDN/>
        <w:bidi w:val="0"/>
        <w:adjustRightInd w:val="0"/>
        <w:snapToGrid w:val="0"/>
        <w:spacing w:line="579" w:lineRule="exact"/>
        <w:ind w:firstLine="640"/>
        <w:textAlignment w:val="auto"/>
        <w:outlineLvl w:val="9"/>
        <w:rPr>
          <w:rFonts w:ascii="Times New Roman" w:hAnsi="Times New Roman" w:eastAsia="仿宋_GB2312" w:cs="Times New Roman"/>
          <w:sz w:val="32"/>
          <w:szCs w:val="32"/>
        </w:rPr>
      </w:pPr>
      <w:r>
        <w:rPr>
          <w:rFonts w:ascii="Times New Roman" w:hAnsi="Times New Roman" w:eastAsia="楷体_GB2312" w:cs="Times New Roman"/>
          <w:sz w:val="32"/>
          <w:szCs w:val="32"/>
        </w:rPr>
        <w:t>2.国有土地使用权出让收入。</w:t>
      </w:r>
      <w:r>
        <w:rPr>
          <w:rFonts w:ascii="Times New Roman" w:hAnsi="Times New Roman" w:eastAsia="仿宋_GB2312" w:cs="Times New Roman"/>
          <w:sz w:val="32"/>
          <w:szCs w:val="32"/>
        </w:rPr>
        <w:t>根据《国务院办公厅关于规范国有土地使用权出让收支管理的通知》（国办发〔2006〕100号）、《甘肃省国有土地使用权出让收支管理办法》（甘肃省人民政府令第42号）等规定，国有土地使用权出让收入是指政府以出让等方式配置国有土地使用权取得的全部土地价款，包括受让人支付的征地和拆迁补偿费用、土地前期开发费用和土地出让收益等。从2007年起，省级财政按照市（州）国有土地使用权出让收入5%的比例分成。市（州）与县（市）分成比例由各地自定。支出范围包括：征地和拆迁补偿支出、土地开发支出、支农支出、城市建设支出以及其他支出等。</w:t>
      </w:r>
    </w:p>
    <w:p>
      <w:pPr>
        <w:pStyle w:val="2"/>
        <w:keepNext w:val="0"/>
        <w:keepLines w:val="0"/>
        <w:pageBreakBefore w:val="0"/>
        <w:widowControl w:val="0"/>
        <w:kinsoku/>
        <w:wordWrap/>
        <w:overflowPunct/>
        <w:topLinePunct w:val="0"/>
        <w:autoSpaceDE/>
        <w:autoSpaceDN/>
        <w:bidi w:val="0"/>
        <w:adjustRightInd w:val="0"/>
        <w:snapToGrid w:val="0"/>
        <w:spacing w:line="579" w:lineRule="exact"/>
        <w:ind w:firstLine="640"/>
        <w:textAlignment w:val="auto"/>
        <w:outlineLvl w:val="9"/>
        <w:rPr>
          <w:rFonts w:ascii="Times New Roman" w:hAnsi="Times New Roman" w:eastAsia="仿宋_GB2312" w:cs="Times New Roman"/>
          <w:sz w:val="32"/>
          <w:szCs w:val="32"/>
        </w:rPr>
      </w:pPr>
      <w:r>
        <w:rPr>
          <w:rFonts w:ascii="Times New Roman" w:hAnsi="Times New Roman" w:eastAsia="楷体_GB2312" w:cs="Times New Roman"/>
          <w:sz w:val="32"/>
          <w:szCs w:val="32"/>
        </w:rPr>
        <w:t>3.彩票公益金。</w:t>
      </w:r>
      <w:r>
        <w:rPr>
          <w:rFonts w:ascii="Times New Roman" w:hAnsi="Times New Roman" w:eastAsia="仿宋_GB2312" w:cs="Times New Roman"/>
          <w:sz w:val="32"/>
          <w:szCs w:val="32"/>
        </w:rPr>
        <w:t>根据《彩票管理条例》、《彩票管理实施细则》以及《财政部关于印发&lt;彩票公益金管理办法&gt;的通知》（财综〔2012〕15号），彩票公益金是按照规定比例从彩票发行销售收入中提取的，专项用于社会福利、体育等社会公益事业的资金。彩票公益金分配政策是：中央与地方按5:5比例分配。彩票公益金使用范围包括：红十字事业、残疾人事业、农村医疗救助、城市医疗救助、教育助学、未成年人校外教育事业、文化、扶贫、法律援助等。</w:t>
      </w:r>
    </w:p>
    <w:p>
      <w:pPr>
        <w:pStyle w:val="2"/>
        <w:keepNext w:val="0"/>
        <w:keepLines w:val="0"/>
        <w:pageBreakBefore w:val="0"/>
        <w:widowControl w:val="0"/>
        <w:kinsoku/>
        <w:wordWrap/>
        <w:overflowPunct/>
        <w:topLinePunct w:val="0"/>
        <w:autoSpaceDE/>
        <w:autoSpaceDN/>
        <w:bidi w:val="0"/>
        <w:adjustRightInd w:val="0"/>
        <w:snapToGrid w:val="0"/>
        <w:spacing w:line="579" w:lineRule="exact"/>
        <w:ind w:firstLine="640"/>
        <w:textAlignment w:val="auto"/>
        <w:outlineLvl w:val="9"/>
        <w:rPr>
          <w:rFonts w:ascii="Times New Roman" w:hAnsi="Times New Roman" w:eastAsia="仿宋_GB2312" w:cs="Times New Roman"/>
          <w:sz w:val="32"/>
          <w:szCs w:val="32"/>
        </w:rPr>
      </w:pPr>
      <w:r>
        <w:rPr>
          <w:rFonts w:hint="eastAsia" w:ascii="楷体_GB2312" w:hAnsi="楷体_GB2312" w:eastAsia="楷体_GB2312" w:cs="楷体_GB2312"/>
          <w:sz w:val="32"/>
          <w:szCs w:val="32"/>
          <w:lang w:val="en-US" w:eastAsia="zh-CN"/>
        </w:rPr>
        <w:t>4.抗疫特别国债。</w:t>
      </w:r>
      <w:r>
        <w:rPr>
          <w:rFonts w:hint="eastAsia" w:ascii="Times New Roman" w:hAnsi="Times New Roman" w:eastAsia="仿宋_GB2312" w:cs="Times New Roman"/>
          <w:sz w:val="32"/>
          <w:szCs w:val="32"/>
          <w:lang w:val="en-US" w:eastAsia="zh-CN"/>
        </w:rPr>
        <w:t>是为应对新冠肺炎疫情影响，由中央财政统一发行的特殊国债。不计入财政赤字，不纳入国债余额限额，全部转给地方主要用于公共卫生等基础设施建设和抗疫相关支出。抗疫特别国债发行规模为1万亿元，发行期限以10年期为主，与中央国债统筹发行。抗疫特别国债利息由中央财政全额负担，本金由中央财政偿还3000亿元，地方财政偿还7000亿元。抗疫特别国债收支纳入政府性基金预算管理。</w:t>
      </w:r>
    </w:p>
    <w:sectPr>
      <w:footerReference r:id="rId3" w:type="default"/>
      <w:pgSz w:w="11906" w:h="16838"/>
      <w:pgMar w:top="2098" w:right="1474" w:bottom="1985"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rFonts w:asciiTheme="minorEastAsia" w:hAnsiTheme="minorEastAsia" w:eastAsiaTheme="minorEastAsia"/>
        <w:sz w:val="28"/>
        <w:szCs w:val="28"/>
      </w:rPr>
    </w:pPr>
    <w:r>
      <w:rPr>
        <w:sz w:val="2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wordWrap w:val="0"/>
                  <w:jc w:val="right"/>
                </w:pP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 xml:space="preserve">—  </w:t>
                </w:r>
              </w:p>
            </w:txbxContent>
          </v:textbox>
        </v:shape>
      </w:pic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3179"/>
    <w:rsid w:val="000000A7"/>
    <w:rsid w:val="00000830"/>
    <w:rsid w:val="00001C3A"/>
    <w:rsid w:val="00002AB6"/>
    <w:rsid w:val="00020E3A"/>
    <w:rsid w:val="00021433"/>
    <w:rsid w:val="00024315"/>
    <w:rsid w:val="00025387"/>
    <w:rsid w:val="00027F56"/>
    <w:rsid w:val="000350CF"/>
    <w:rsid w:val="00036A64"/>
    <w:rsid w:val="000417D8"/>
    <w:rsid w:val="00041878"/>
    <w:rsid w:val="000423D8"/>
    <w:rsid w:val="00042BCF"/>
    <w:rsid w:val="000435A4"/>
    <w:rsid w:val="000439ED"/>
    <w:rsid w:val="000513A8"/>
    <w:rsid w:val="00052A5A"/>
    <w:rsid w:val="00052DD9"/>
    <w:rsid w:val="000539B2"/>
    <w:rsid w:val="00056654"/>
    <w:rsid w:val="000567DA"/>
    <w:rsid w:val="00061E25"/>
    <w:rsid w:val="0006415F"/>
    <w:rsid w:val="00067668"/>
    <w:rsid w:val="00070950"/>
    <w:rsid w:val="000713E0"/>
    <w:rsid w:val="00072335"/>
    <w:rsid w:val="00074535"/>
    <w:rsid w:val="000755E2"/>
    <w:rsid w:val="000810D7"/>
    <w:rsid w:val="0008305F"/>
    <w:rsid w:val="00095843"/>
    <w:rsid w:val="000A0FFA"/>
    <w:rsid w:val="000A49BC"/>
    <w:rsid w:val="000A58F7"/>
    <w:rsid w:val="000C0E4A"/>
    <w:rsid w:val="000C23E8"/>
    <w:rsid w:val="000D0A54"/>
    <w:rsid w:val="000D1B9A"/>
    <w:rsid w:val="000D1FEC"/>
    <w:rsid w:val="000D511C"/>
    <w:rsid w:val="000E026E"/>
    <w:rsid w:val="000E16C5"/>
    <w:rsid w:val="000E43D5"/>
    <w:rsid w:val="000E610C"/>
    <w:rsid w:val="000E6F61"/>
    <w:rsid w:val="000E7C67"/>
    <w:rsid w:val="00111488"/>
    <w:rsid w:val="00113526"/>
    <w:rsid w:val="001201A2"/>
    <w:rsid w:val="001321F1"/>
    <w:rsid w:val="00135890"/>
    <w:rsid w:val="001447A7"/>
    <w:rsid w:val="00147A2A"/>
    <w:rsid w:val="001515E5"/>
    <w:rsid w:val="00152419"/>
    <w:rsid w:val="00155205"/>
    <w:rsid w:val="001600EB"/>
    <w:rsid w:val="001603F3"/>
    <w:rsid w:val="001603F9"/>
    <w:rsid w:val="0016695D"/>
    <w:rsid w:val="001728B5"/>
    <w:rsid w:val="0017363F"/>
    <w:rsid w:val="00175279"/>
    <w:rsid w:val="0019111C"/>
    <w:rsid w:val="0019204E"/>
    <w:rsid w:val="00192E32"/>
    <w:rsid w:val="0019487C"/>
    <w:rsid w:val="00195E6A"/>
    <w:rsid w:val="001A2FAB"/>
    <w:rsid w:val="001B1387"/>
    <w:rsid w:val="001B14ED"/>
    <w:rsid w:val="001B406D"/>
    <w:rsid w:val="001B7B59"/>
    <w:rsid w:val="001C1F46"/>
    <w:rsid w:val="001C2E3C"/>
    <w:rsid w:val="001D2B39"/>
    <w:rsid w:val="001D3179"/>
    <w:rsid w:val="001D5BE5"/>
    <w:rsid w:val="001E04FF"/>
    <w:rsid w:val="001E4FAD"/>
    <w:rsid w:val="001E6FAB"/>
    <w:rsid w:val="001E7285"/>
    <w:rsid w:val="001F22D0"/>
    <w:rsid w:val="001F6640"/>
    <w:rsid w:val="00204928"/>
    <w:rsid w:val="0020597D"/>
    <w:rsid w:val="00205D57"/>
    <w:rsid w:val="00206004"/>
    <w:rsid w:val="00207AB1"/>
    <w:rsid w:val="00210496"/>
    <w:rsid w:val="002320DD"/>
    <w:rsid w:val="002373F2"/>
    <w:rsid w:val="00240CEB"/>
    <w:rsid w:val="00244557"/>
    <w:rsid w:val="00245379"/>
    <w:rsid w:val="002507AE"/>
    <w:rsid w:val="0025173A"/>
    <w:rsid w:val="00252ED2"/>
    <w:rsid w:val="002536B1"/>
    <w:rsid w:val="0026064B"/>
    <w:rsid w:val="00261D29"/>
    <w:rsid w:val="00262607"/>
    <w:rsid w:val="002650EE"/>
    <w:rsid w:val="00266307"/>
    <w:rsid w:val="00271389"/>
    <w:rsid w:val="002863F7"/>
    <w:rsid w:val="00292C78"/>
    <w:rsid w:val="002A3466"/>
    <w:rsid w:val="002B200C"/>
    <w:rsid w:val="002B2DC2"/>
    <w:rsid w:val="002B3824"/>
    <w:rsid w:val="002B5C39"/>
    <w:rsid w:val="002C4B4E"/>
    <w:rsid w:val="002C5DC0"/>
    <w:rsid w:val="002E08EC"/>
    <w:rsid w:val="002E52B0"/>
    <w:rsid w:val="002E5942"/>
    <w:rsid w:val="002E6FC9"/>
    <w:rsid w:val="002F04B5"/>
    <w:rsid w:val="002F6689"/>
    <w:rsid w:val="0030779C"/>
    <w:rsid w:val="00313452"/>
    <w:rsid w:val="00322348"/>
    <w:rsid w:val="00322D65"/>
    <w:rsid w:val="00334C70"/>
    <w:rsid w:val="00336C32"/>
    <w:rsid w:val="00340BF5"/>
    <w:rsid w:val="00343D55"/>
    <w:rsid w:val="0035194C"/>
    <w:rsid w:val="00354A87"/>
    <w:rsid w:val="00357A1E"/>
    <w:rsid w:val="0036120F"/>
    <w:rsid w:val="00362197"/>
    <w:rsid w:val="00366643"/>
    <w:rsid w:val="00366F40"/>
    <w:rsid w:val="003769E2"/>
    <w:rsid w:val="003804DB"/>
    <w:rsid w:val="003820FD"/>
    <w:rsid w:val="003835D8"/>
    <w:rsid w:val="003836D6"/>
    <w:rsid w:val="0038743D"/>
    <w:rsid w:val="003938E6"/>
    <w:rsid w:val="003A25B4"/>
    <w:rsid w:val="003A5E6D"/>
    <w:rsid w:val="003A6E4D"/>
    <w:rsid w:val="003B7381"/>
    <w:rsid w:val="003C5055"/>
    <w:rsid w:val="003C791C"/>
    <w:rsid w:val="003E0DC1"/>
    <w:rsid w:val="003E310A"/>
    <w:rsid w:val="003E751B"/>
    <w:rsid w:val="003F4F2B"/>
    <w:rsid w:val="003F5DD2"/>
    <w:rsid w:val="00403FCC"/>
    <w:rsid w:val="0040536D"/>
    <w:rsid w:val="0040714C"/>
    <w:rsid w:val="0040750F"/>
    <w:rsid w:val="0041006C"/>
    <w:rsid w:val="004159B7"/>
    <w:rsid w:val="00420916"/>
    <w:rsid w:val="00425BB9"/>
    <w:rsid w:val="00426737"/>
    <w:rsid w:val="004322DF"/>
    <w:rsid w:val="0044040B"/>
    <w:rsid w:val="004465A8"/>
    <w:rsid w:val="00454021"/>
    <w:rsid w:val="004618DD"/>
    <w:rsid w:val="00464B8F"/>
    <w:rsid w:val="004654EA"/>
    <w:rsid w:val="00471617"/>
    <w:rsid w:val="00472E89"/>
    <w:rsid w:val="004759F1"/>
    <w:rsid w:val="00476E04"/>
    <w:rsid w:val="0048035E"/>
    <w:rsid w:val="0048358A"/>
    <w:rsid w:val="004904E7"/>
    <w:rsid w:val="004949ED"/>
    <w:rsid w:val="00496AAC"/>
    <w:rsid w:val="004A118A"/>
    <w:rsid w:val="004B1026"/>
    <w:rsid w:val="004B5551"/>
    <w:rsid w:val="004B636D"/>
    <w:rsid w:val="004B6B87"/>
    <w:rsid w:val="004B6FB1"/>
    <w:rsid w:val="004C2A1F"/>
    <w:rsid w:val="004C3294"/>
    <w:rsid w:val="004D1577"/>
    <w:rsid w:val="004E4709"/>
    <w:rsid w:val="004E7188"/>
    <w:rsid w:val="004F33EB"/>
    <w:rsid w:val="005000DE"/>
    <w:rsid w:val="00500BF6"/>
    <w:rsid w:val="005019BE"/>
    <w:rsid w:val="00502995"/>
    <w:rsid w:val="0050480D"/>
    <w:rsid w:val="00506666"/>
    <w:rsid w:val="005138F6"/>
    <w:rsid w:val="00514A2A"/>
    <w:rsid w:val="00514E05"/>
    <w:rsid w:val="005165F8"/>
    <w:rsid w:val="00517560"/>
    <w:rsid w:val="00517F1B"/>
    <w:rsid w:val="00520AC5"/>
    <w:rsid w:val="0052194B"/>
    <w:rsid w:val="005231C2"/>
    <w:rsid w:val="00523798"/>
    <w:rsid w:val="005327B8"/>
    <w:rsid w:val="005349BC"/>
    <w:rsid w:val="00534F1F"/>
    <w:rsid w:val="0053534D"/>
    <w:rsid w:val="0053713C"/>
    <w:rsid w:val="005431CB"/>
    <w:rsid w:val="00551757"/>
    <w:rsid w:val="005525A4"/>
    <w:rsid w:val="00571FBD"/>
    <w:rsid w:val="00574B3B"/>
    <w:rsid w:val="00574EEA"/>
    <w:rsid w:val="0058440A"/>
    <w:rsid w:val="00591A2B"/>
    <w:rsid w:val="005938BC"/>
    <w:rsid w:val="005958A1"/>
    <w:rsid w:val="005A0448"/>
    <w:rsid w:val="005A10DF"/>
    <w:rsid w:val="005A15E4"/>
    <w:rsid w:val="005A35A4"/>
    <w:rsid w:val="005A682E"/>
    <w:rsid w:val="005A6A83"/>
    <w:rsid w:val="005B14A6"/>
    <w:rsid w:val="005B2566"/>
    <w:rsid w:val="005B299B"/>
    <w:rsid w:val="005B5DCB"/>
    <w:rsid w:val="005C0232"/>
    <w:rsid w:val="005C0263"/>
    <w:rsid w:val="005C18D1"/>
    <w:rsid w:val="005C42BC"/>
    <w:rsid w:val="005C5A41"/>
    <w:rsid w:val="005D0DDE"/>
    <w:rsid w:val="005D1AD7"/>
    <w:rsid w:val="005D67F3"/>
    <w:rsid w:val="005E108B"/>
    <w:rsid w:val="005E3DA8"/>
    <w:rsid w:val="005E6D5C"/>
    <w:rsid w:val="005F07A7"/>
    <w:rsid w:val="005F3247"/>
    <w:rsid w:val="005F46EF"/>
    <w:rsid w:val="005F7CC7"/>
    <w:rsid w:val="0060342D"/>
    <w:rsid w:val="00604673"/>
    <w:rsid w:val="0060523C"/>
    <w:rsid w:val="00610823"/>
    <w:rsid w:val="0061442D"/>
    <w:rsid w:val="00617442"/>
    <w:rsid w:val="006212AD"/>
    <w:rsid w:val="00621718"/>
    <w:rsid w:val="00623BA8"/>
    <w:rsid w:val="00642F50"/>
    <w:rsid w:val="006448AC"/>
    <w:rsid w:val="0064543D"/>
    <w:rsid w:val="006502FC"/>
    <w:rsid w:val="00656820"/>
    <w:rsid w:val="006610C1"/>
    <w:rsid w:val="00664D63"/>
    <w:rsid w:val="006651A1"/>
    <w:rsid w:val="00666258"/>
    <w:rsid w:val="00672275"/>
    <w:rsid w:val="00672B4F"/>
    <w:rsid w:val="00674668"/>
    <w:rsid w:val="006751DA"/>
    <w:rsid w:val="00683AB4"/>
    <w:rsid w:val="006845A0"/>
    <w:rsid w:val="0068481E"/>
    <w:rsid w:val="0068540F"/>
    <w:rsid w:val="006872D3"/>
    <w:rsid w:val="00690314"/>
    <w:rsid w:val="00690D43"/>
    <w:rsid w:val="00692A81"/>
    <w:rsid w:val="00696F11"/>
    <w:rsid w:val="006A2681"/>
    <w:rsid w:val="006A7973"/>
    <w:rsid w:val="006B02CB"/>
    <w:rsid w:val="006B15D0"/>
    <w:rsid w:val="006B61B7"/>
    <w:rsid w:val="006B6798"/>
    <w:rsid w:val="006B6807"/>
    <w:rsid w:val="006C09A6"/>
    <w:rsid w:val="006C2B13"/>
    <w:rsid w:val="006C3878"/>
    <w:rsid w:val="006D0778"/>
    <w:rsid w:val="006D0A13"/>
    <w:rsid w:val="006D4D83"/>
    <w:rsid w:val="006D763F"/>
    <w:rsid w:val="006E4812"/>
    <w:rsid w:val="006E54FB"/>
    <w:rsid w:val="006E61F0"/>
    <w:rsid w:val="006E6CC2"/>
    <w:rsid w:val="006F1B7E"/>
    <w:rsid w:val="006F1DC0"/>
    <w:rsid w:val="006F2AFA"/>
    <w:rsid w:val="006F30B5"/>
    <w:rsid w:val="006F3DB8"/>
    <w:rsid w:val="0070597C"/>
    <w:rsid w:val="00707E1D"/>
    <w:rsid w:val="00711151"/>
    <w:rsid w:val="007170D1"/>
    <w:rsid w:val="007173BF"/>
    <w:rsid w:val="00723AD3"/>
    <w:rsid w:val="0072587E"/>
    <w:rsid w:val="00726D62"/>
    <w:rsid w:val="00731A37"/>
    <w:rsid w:val="0074133B"/>
    <w:rsid w:val="007445B0"/>
    <w:rsid w:val="007460F4"/>
    <w:rsid w:val="007645C9"/>
    <w:rsid w:val="00765058"/>
    <w:rsid w:val="00766241"/>
    <w:rsid w:val="00766ACE"/>
    <w:rsid w:val="00772E45"/>
    <w:rsid w:val="00777824"/>
    <w:rsid w:val="00777DB7"/>
    <w:rsid w:val="00780C04"/>
    <w:rsid w:val="00786B04"/>
    <w:rsid w:val="00795EB3"/>
    <w:rsid w:val="007A4F9E"/>
    <w:rsid w:val="007A55E5"/>
    <w:rsid w:val="007A62CC"/>
    <w:rsid w:val="007B15DD"/>
    <w:rsid w:val="007B3A82"/>
    <w:rsid w:val="007B4289"/>
    <w:rsid w:val="007D4307"/>
    <w:rsid w:val="007D5C03"/>
    <w:rsid w:val="007E3599"/>
    <w:rsid w:val="007E4994"/>
    <w:rsid w:val="007F63BE"/>
    <w:rsid w:val="008057C1"/>
    <w:rsid w:val="00811666"/>
    <w:rsid w:val="00817642"/>
    <w:rsid w:val="00817E50"/>
    <w:rsid w:val="00820265"/>
    <w:rsid w:val="00822A4B"/>
    <w:rsid w:val="008340BB"/>
    <w:rsid w:val="00841B25"/>
    <w:rsid w:val="008469CF"/>
    <w:rsid w:val="00854B0B"/>
    <w:rsid w:val="008621DB"/>
    <w:rsid w:val="00862305"/>
    <w:rsid w:val="00866EB0"/>
    <w:rsid w:val="008714D0"/>
    <w:rsid w:val="008822E4"/>
    <w:rsid w:val="00885CFD"/>
    <w:rsid w:val="008876B5"/>
    <w:rsid w:val="0089148E"/>
    <w:rsid w:val="008A5F89"/>
    <w:rsid w:val="008B1B20"/>
    <w:rsid w:val="008B44F5"/>
    <w:rsid w:val="008B5E4F"/>
    <w:rsid w:val="008D0D8C"/>
    <w:rsid w:val="008D4BC6"/>
    <w:rsid w:val="008E29DE"/>
    <w:rsid w:val="008E35E7"/>
    <w:rsid w:val="008E5745"/>
    <w:rsid w:val="008E6BA3"/>
    <w:rsid w:val="008F1DF3"/>
    <w:rsid w:val="008F2808"/>
    <w:rsid w:val="008F5D35"/>
    <w:rsid w:val="008F766D"/>
    <w:rsid w:val="009005F0"/>
    <w:rsid w:val="009058CB"/>
    <w:rsid w:val="00906353"/>
    <w:rsid w:val="00910C03"/>
    <w:rsid w:val="009114E1"/>
    <w:rsid w:val="00914BF7"/>
    <w:rsid w:val="00917706"/>
    <w:rsid w:val="00917A19"/>
    <w:rsid w:val="00917DB6"/>
    <w:rsid w:val="00920B5A"/>
    <w:rsid w:val="00937BC1"/>
    <w:rsid w:val="00947466"/>
    <w:rsid w:val="009538C7"/>
    <w:rsid w:val="00971E64"/>
    <w:rsid w:val="009774C5"/>
    <w:rsid w:val="00981289"/>
    <w:rsid w:val="009839EC"/>
    <w:rsid w:val="00984B88"/>
    <w:rsid w:val="009953D0"/>
    <w:rsid w:val="009A04EA"/>
    <w:rsid w:val="009A1D24"/>
    <w:rsid w:val="009A2061"/>
    <w:rsid w:val="009B1AA6"/>
    <w:rsid w:val="009B2213"/>
    <w:rsid w:val="009B2D8E"/>
    <w:rsid w:val="009C35B3"/>
    <w:rsid w:val="009C71DC"/>
    <w:rsid w:val="009D0D3F"/>
    <w:rsid w:val="009D3F32"/>
    <w:rsid w:val="009E0685"/>
    <w:rsid w:val="009E572E"/>
    <w:rsid w:val="009F263D"/>
    <w:rsid w:val="00A00003"/>
    <w:rsid w:val="00A00190"/>
    <w:rsid w:val="00A016ED"/>
    <w:rsid w:val="00A02710"/>
    <w:rsid w:val="00A03914"/>
    <w:rsid w:val="00A05F4B"/>
    <w:rsid w:val="00A11198"/>
    <w:rsid w:val="00A125B0"/>
    <w:rsid w:val="00A138DF"/>
    <w:rsid w:val="00A15BE2"/>
    <w:rsid w:val="00A15DB6"/>
    <w:rsid w:val="00A17C2D"/>
    <w:rsid w:val="00A21CA7"/>
    <w:rsid w:val="00A221C4"/>
    <w:rsid w:val="00A25B60"/>
    <w:rsid w:val="00A36362"/>
    <w:rsid w:val="00A468BF"/>
    <w:rsid w:val="00A5548B"/>
    <w:rsid w:val="00A55724"/>
    <w:rsid w:val="00A5645E"/>
    <w:rsid w:val="00A62B67"/>
    <w:rsid w:val="00A63099"/>
    <w:rsid w:val="00A66E39"/>
    <w:rsid w:val="00A7173E"/>
    <w:rsid w:val="00A73E0D"/>
    <w:rsid w:val="00A74C35"/>
    <w:rsid w:val="00A767BD"/>
    <w:rsid w:val="00A76989"/>
    <w:rsid w:val="00A7711E"/>
    <w:rsid w:val="00A7779F"/>
    <w:rsid w:val="00A8413C"/>
    <w:rsid w:val="00A903AE"/>
    <w:rsid w:val="00A9216D"/>
    <w:rsid w:val="00AB0EBA"/>
    <w:rsid w:val="00AD3564"/>
    <w:rsid w:val="00AE02F5"/>
    <w:rsid w:val="00AE1195"/>
    <w:rsid w:val="00AE1AA0"/>
    <w:rsid w:val="00AE3F26"/>
    <w:rsid w:val="00AE5BE5"/>
    <w:rsid w:val="00AF293A"/>
    <w:rsid w:val="00AF2A66"/>
    <w:rsid w:val="00AF37F8"/>
    <w:rsid w:val="00B00131"/>
    <w:rsid w:val="00B055AD"/>
    <w:rsid w:val="00B10F21"/>
    <w:rsid w:val="00B15A9C"/>
    <w:rsid w:val="00B15DB3"/>
    <w:rsid w:val="00B21EAE"/>
    <w:rsid w:val="00B24A5A"/>
    <w:rsid w:val="00B2587D"/>
    <w:rsid w:val="00B31F71"/>
    <w:rsid w:val="00B44100"/>
    <w:rsid w:val="00B4623E"/>
    <w:rsid w:val="00B528B2"/>
    <w:rsid w:val="00B55656"/>
    <w:rsid w:val="00B6147F"/>
    <w:rsid w:val="00B6150B"/>
    <w:rsid w:val="00B647FB"/>
    <w:rsid w:val="00B7049B"/>
    <w:rsid w:val="00B74675"/>
    <w:rsid w:val="00B870F7"/>
    <w:rsid w:val="00B9151B"/>
    <w:rsid w:val="00B920EE"/>
    <w:rsid w:val="00B92C37"/>
    <w:rsid w:val="00BA1AA0"/>
    <w:rsid w:val="00BC0D67"/>
    <w:rsid w:val="00BC21B2"/>
    <w:rsid w:val="00BC4567"/>
    <w:rsid w:val="00BC5C99"/>
    <w:rsid w:val="00BC6A99"/>
    <w:rsid w:val="00BD1DAD"/>
    <w:rsid w:val="00BD2155"/>
    <w:rsid w:val="00BD50DB"/>
    <w:rsid w:val="00BD65E4"/>
    <w:rsid w:val="00BD76A5"/>
    <w:rsid w:val="00BE4A50"/>
    <w:rsid w:val="00BF57D8"/>
    <w:rsid w:val="00BF5AAF"/>
    <w:rsid w:val="00C047E9"/>
    <w:rsid w:val="00C06FC8"/>
    <w:rsid w:val="00C12C8C"/>
    <w:rsid w:val="00C20305"/>
    <w:rsid w:val="00C2516E"/>
    <w:rsid w:val="00C25C75"/>
    <w:rsid w:val="00C356F5"/>
    <w:rsid w:val="00C4335C"/>
    <w:rsid w:val="00C47598"/>
    <w:rsid w:val="00C52679"/>
    <w:rsid w:val="00C6171D"/>
    <w:rsid w:val="00C61BE3"/>
    <w:rsid w:val="00C632DF"/>
    <w:rsid w:val="00C667A4"/>
    <w:rsid w:val="00C72B8E"/>
    <w:rsid w:val="00C73AB3"/>
    <w:rsid w:val="00C834F3"/>
    <w:rsid w:val="00C877FA"/>
    <w:rsid w:val="00C914C8"/>
    <w:rsid w:val="00C92F75"/>
    <w:rsid w:val="00CA36EC"/>
    <w:rsid w:val="00CA38A1"/>
    <w:rsid w:val="00CA5273"/>
    <w:rsid w:val="00CA7ADD"/>
    <w:rsid w:val="00CA7BF9"/>
    <w:rsid w:val="00CB00D7"/>
    <w:rsid w:val="00CB07CD"/>
    <w:rsid w:val="00CB5AA4"/>
    <w:rsid w:val="00CC0721"/>
    <w:rsid w:val="00CC54EB"/>
    <w:rsid w:val="00CD28ED"/>
    <w:rsid w:val="00CE635B"/>
    <w:rsid w:val="00CF446C"/>
    <w:rsid w:val="00CF78A2"/>
    <w:rsid w:val="00CF7EEE"/>
    <w:rsid w:val="00D02F9F"/>
    <w:rsid w:val="00D0455B"/>
    <w:rsid w:val="00D04827"/>
    <w:rsid w:val="00D126E2"/>
    <w:rsid w:val="00D16684"/>
    <w:rsid w:val="00D2015C"/>
    <w:rsid w:val="00D24AFD"/>
    <w:rsid w:val="00D27699"/>
    <w:rsid w:val="00D30D6A"/>
    <w:rsid w:val="00D31CA5"/>
    <w:rsid w:val="00D31F4A"/>
    <w:rsid w:val="00D365B7"/>
    <w:rsid w:val="00D36B8A"/>
    <w:rsid w:val="00D408D7"/>
    <w:rsid w:val="00D42E94"/>
    <w:rsid w:val="00D50EF6"/>
    <w:rsid w:val="00D517C8"/>
    <w:rsid w:val="00D5362A"/>
    <w:rsid w:val="00D5436A"/>
    <w:rsid w:val="00D62FC0"/>
    <w:rsid w:val="00D643B5"/>
    <w:rsid w:val="00D678C0"/>
    <w:rsid w:val="00D72CF9"/>
    <w:rsid w:val="00D735ED"/>
    <w:rsid w:val="00D775B9"/>
    <w:rsid w:val="00D81623"/>
    <w:rsid w:val="00D821D5"/>
    <w:rsid w:val="00D87D3E"/>
    <w:rsid w:val="00D92562"/>
    <w:rsid w:val="00D945CD"/>
    <w:rsid w:val="00D96003"/>
    <w:rsid w:val="00DA20A4"/>
    <w:rsid w:val="00DA4FA8"/>
    <w:rsid w:val="00DB1709"/>
    <w:rsid w:val="00DB5161"/>
    <w:rsid w:val="00DC376F"/>
    <w:rsid w:val="00DC759B"/>
    <w:rsid w:val="00DC7DEF"/>
    <w:rsid w:val="00DD2F30"/>
    <w:rsid w:val="00DE347B"/>
    <w:rsid w:val="00DE4D14"/>
    <w:rsid w:val="00DF1AC0"/>
    <w:rsid w:val="00DF3558"/>
    <w:rsid w:val="00DF5208"/>
    <w:rsid w:val="00DF5B75"/>
    <w:rsid w:val="00DF6D50"/>
    <w:rsid w:val="00E05C03"/>
    <w:rsid w:val="00E05F53"/>
    <w:rsid w:val="00E15FB0"/>
    <w:rsid w:val="00E20449"/>
    <w:rsid w:val="00E218EB"/>
    <w:rsid w:val="00E21B32"/>
    <w:rsid w:val="00E228EC"/>
    <w:rsid w:val="00E23C63"/>
    <w:rsid w:val="00E24113"/>
    <w:rsid w:val="00E26B08"/>
    <w:rsid w:val="00E27648"/>
    <w:rsid w:val="00E430E8"/>
    <w:rsid w:val="00E50DF1"/>
    <w:rsid w:val="00E62296"/>
    <w:rsid w:val="00E71965"/>
    <w:rsid w:val="00E94A41"/>
    <w:rsid w:val="00E96A81"/>
    <w:rsid w:val="00EA56D3"/>
    <w:rsid w:val="00EB2F6F"/>
    <w:rsid w:val="00EB6898"/>
    <w:rsid w:val="00EC335C"/>
    <w:rsid w:val="00EC540F"/>
    <w:rsid w:val="00ED166E"/>
    <w:rsid w:val="00ED1819"/>
    <w:rsid w:val="00ED6CD7"/>
    <w:rsid w:val="00EE165C"/>
    <w:rsid w:val="00EE3823"/>
    <w:rsid w:val="00EE569B"/>
    <w:rsid w:val="00EE72D8"/>
    <w:rsid w:val="00EE76FB"/>
    <w:rsid w:val="00EF3F59"/>
    <w:rsid w:val="00EF6A25"/>
    <w:rsid w:val="00F00B0B"/>
    <w:rsid w:val="00F0529E"/>
    <w:rsid w:val="00F10ECC"/>
    <w:rsid w:val="00F161D9"/>
    <w:rsid w:val="00F16B8F"/>
    <w:rsid w:val="00F16C44"/>
    <w:rsid w:val="00F20016"/>
    <w:rsid w:val="00F24C9E"/>
    <w:rsid w:val="00F326EB"/>
    <w:rsid w:val="00F335A0"/>
    <w:rsid w:val="00F33678"/>
    <w:rsid w:val="00F33A9F"/>
    <w:rsid w:val="00F44AF2"/>
    <w:rsid w:val="00F51409"/>
    <w:rsid w:val="00F55909"/>
    <w:rsid w:val="00F55ED1"/>
    <w:rsid w:val="00F57AAF"/>
    <w:rsid w:val="00F57B9A"/>
    <w:rsid w:val="00F6226A"/>
    <w:rsid w:val="00F65E2C"/>
    <w:rsid w:val="00F673F7"/>
    <w:rsid w:val="00F73642"/>
    <w:rsid w:val="00F76D20"/>
    <w:rsid w:val="00F81927"/>
    <w:rsid w:val="00F81BA0"/>
    <w:rsid w:val="00F83419"/>
    <w:rsid w:val="00F878AD"/>
    <w:rsid w:val="00F91B00"/>
    <w:rsid w:val="00FA25A8"/>
    <w:rsid w:val="00FB2180"/>
    <w:rsid w:val="00FC0F05"/>
    <w:rsid w:val="00FC1B89"/>
    <w:rsid w:val="00FC2503"/>
    <w:rsid w:val="00FD0D34"/>
    <w:rsid w:val="00FD1C26"/>
    <w:rsid w:val="00FD1D80"/>
    <w:rsid w:val="00FD26B9"/>
    <w:rsid w:val="00FD6C18"/>
    <w:rsid w:val="00FE4EEC"/>
    <w:rsid w:val="00FF01CA"/>
    <w:rsid w:val="00FF156A"/>
    <w:rsid w:val="00FF6C3A"/>
    <w:rsid w:val="0CA4769F"/>
    <w:rsid w:val="0CF72B18"/>
    <w:rsid w:val="17761344"/>
    <w:rsid w:val="28547FAB"/>
    <w:rsid w:val="28E30E8A"/>
    <w:rsid w:val="2A2F2F1E"/>
    <w:rsid w:val="30E25D37"/>
    <w:rsid w:val="3E1462DF"/>
    <w:rsid w:val="63330FB8"/>
    <w:rsid w:val="661E5A1C"/>
    <w:rsid w:val="68522F8C"/>
    <w:rsid w:val="6907518D"/>
    <w:rsid w:val="72231E5F"/>
    <w:rsid w:val="728C7D4B"/>
    <w:rsid w:val="7ACA7A74"/>
    <w:rsid w:val="7FC24BA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0"/>
    <w:qFormat/>
    <w:uiPriority w:val="99"/>
    <w:rPr>
      <w:rFonts w:ascii="宋体" w:hAnsi="Courier New" w:cs="宋体"/>
      <w:kern w:val="0"/>
      <w:sz w:val="20"/>
      <w:szCs w:val="20"/>
    </w:rPr>
  </w:style>
  <w:style w:type="paragraph" w:styleId="3">
    <w:name w:val="Date"/>
    <w:basedOn w:val="1"/>
    <w:next w:val="1"/>
    <w:link w:val="11"/>
    <w:qFormat/>
    <w:uiPriority w:val="99"/>
    <w:pPr>
      <w:ind w:left="100" w:leftChars="2500"/>
    </w:pPr>
  </w:style>
  <w:style w:type="paragraph" w:styleId="4">
    <w:name w:val="Balloon Text"/>
    <w:basedOn w:val="1"/>
    <w:link w:val="12"/>
    <w:semiHidden/>
    <w:qFormat/>
    <w:uiPriority w:val="99"/>
    <w:rPr>
      <w:kern w:val="0"/>
      <w:sz w:val="18"/>
      <w:szCs w:val="18"/>
    </w:rPr>
  </w:style>
  <w:style w:type="paragraph" w:styleId="5">
    <w:name w:val="footer"/>
    <w:basedOn w:val="1"/>
    <w:link w:val="13"/>
    <w:qFormat/>
    <w:uiPriority w:val="99"/>
    <w:pPr>
      <w:tabs>
        <w:tab w:val="center" w:pos="4153"/>
        <w:tab w:val="right" w:pos="8306"/>
      </w:tabs>
      <w:snapToGrid w:val="0"/>
      <w:jc w:val="left"/>
    </w:pPr>
    <w:rPr>
      <w:kern w:val="0"/>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kern w:val="0"/>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0">
    <w:name w:val="纯文本 Char"/>
    <w:basedOn w:val="8"/>
    <w:link w:val="2"/>
    <w:qFormat/>
    <w:locked/>
    <w:uiPriority w:val="99"/>
    <w:rPr>
      <w:rFonts w:ascii="宋体" w:hAnsi="Courier New" w:eastAsia="宋体" w:cs="宋体"/>
      <w:sz w:val="20"/>
      <w:szCs w:val="20"/>
    </w:rPr>
  </w:style>
  <w:style w:type="character" w:customStyle="1" w:styleId="11">
    <w:name w:val="日期 Char"/>
    <w:basedOn w:val="8"/>
    <w:link w:val="3"/>
    <w:semiHidden/>
    <w:qFormat/>
    <w:locked/>
    <w:uiPriority w:val="99"/>
  </w:style>
  <w:style w:type="character" w:customStyle="1" w:styleId="12">
    <w:name w:val="批注框文本 Char"/>
    <w:basedOn w:val="8"/>
    <w:link w:val="4"/>
    <w:semiHidden/>
    <w:qFormat/>
    <w:locked/>
    <w:uiPriority w:val="99"/>
    <w:rPr>
      <w:sz w:val="18"/>
      <w:szCs w:val="18"/>
    </w:rPr>
  </w:style>
  <w:style w:type="character" w:customStyle="1" w:styleId="13">
    <w:name w:val="页脚 Char"/>
    <w:basedOn w:val="8"/>
    <w:link w:val="5"/>
    <w:qFormat/>
    <w:locked/>
    <w:uiPriority w:val="99"/>
    <w:rPr>
      <w:sz w:val="18"/>
      <w:szCs w:val="18"/>
    </w:rPr>
  </w:style>
  <w:style w:type="character" w:customStyle="1" w:styleId="14">
    <w:name w:val="页眉 Char"/>
    <w:basedOn w:val="8"/>
    <w:link w:val="6"/>
    <w:semiHidden/>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中国仙剑音乐网</Company>
  <Pages>3</Pages>
  <Words>183</Words>
  <Characters>1048</Characters>
  <Lines>8</Lines>
  <Paragraphs>2</Paragraphs>
  <TotalTime>1</TotalTime>
  <ScaleCrop>false</ScaleCrop>
  <LinksUpToDate>false</LinksUpToDate>
  <CharactersWithSpaces>1229</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2017-09-12T01:42:00Z</dcterms:created>
  <dc:creator>牛嘉丽</dc:creator>
  <cp:lastModifiedBy>溪河耕夫</cp:lastModifiedBy>
  <cp:lastPrinted>2021-09-02T03:24:01Z</cp:lastPrinted>
  <dcterms:modified xsi:type="dcterms:W3CDTF">2021-09-02T03:24:07Z</dcterms:modified>
  <dc:title>关于2016年市级政府性基金决算</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