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B" w:rsidRDefault="007E33D4" w:rsidP="00BB1E4D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灵台县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年度预算绩效管理工作开展情况说明</w:t>
      </w:r>
    </w:p>
    <w:p w:rsidR="00F7565B" w:rsidRDefault="00F7565B" w:rsidP="00BB1E4D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F7565B" w:rsidRDefault="007E33D4" w:rsidP="00BB1E4D">
      <w:pPr>
        <w:spacing w:line="579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年，我县</w:t>
      </w:r>
      <w:r>
        <w:rPr>
          <w:rFonts w:ascii="仿宋" w:eastAsia="仿宋" w:hAnsi="仿宋" w:cs="仿宋" w:hint="eastAsia"/>
          <w:sz w:val="32"/>
          <w:szCs w:val="32"/>
        </w:rPr>
        <w:t>认真贯彻落实中央、国务院及省市县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关于预算绩效管理的各项决策部署，紧紧围绕全面实施预算绩效管理的相关要求，积极推进全方位、全过程、全覆盖的预算绩效体系建设，着力提高财政资源配置效率和使用效益，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预算绩效管理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工作取得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了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新成效。</w:t>
      </w:r>
    </w:p>
    <w:p w:rsidR="00F7565B" w:rsidRDefault="007E33D4" w:rsidP="00BB1E4D">
      <w:pPr>
        <w:spacing w:line="579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切实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加强组织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部署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县财政局</w:t>
      </w:r>
      <w:r>
        <w:rPr>
          <w:rFonts w:ascii="仿宋" w:eastAsia="仿宋" w:hAnsi="仿宋" w:cs="仿宋" w:hint="eastAsia"/>
          <w:sz w:val="32"/>
          <w:szCs w:val="32"/>
        </w:rPr>
        <w:t>和各预算单位</w:t>
      </w:r>
      <w:r>
        <w:rPr>
          <w:rFonts w:ascii="仿宋" w:eastAsia="仿宋" w:hAnsi="仿宋" w:cs="仿宋" w:hint="eastAsia"/>
          <w:sz w:val="32"/>
          <w:szCs w:val="32"/>
        </w:rPr>
        <w:t>成立了由主要领导任组长的预算绩效管理工作领导小组，</w:t>
      </w:r>
      <w:r>
        <w:rPr>
          <w:rFonts w:ascii="仿宋" w:eastAsia="仿宋" w:hAnsi="仿宋" w:cs="仿宋" w:hint="eastAsia"/>
          <w:sz w:val="32"/>
          <w:szCs w:val="32"/>
        </w:rPr>
        <w:t>逐级</w:t>
      </w:r>
      <w:r>
        <w:rPr>
          <w:rFonts w:ascii="仿宋" w:eastAsia="仿宋" w:hAnsi="仿宋" w:cs="仿宋" w:hint="eastAsia"/>
          <w:sz w:val="32"/>
          <w:szCs w:val="32"/>
        </w:rPr>
        <w:t>建立了工作机制、明确了工作任务、压实了工作职责、</w:t>
      </w:r>
      <w:r>
        <w:rPr>
          <w:rFonts w:ascii="仿宋" w:eastAsia="仿宋" w:hAnsi="仿宋" w:cs="仿宋" w:hint="eastAsia"/>
          <w:sz w:val="32"/>
          <w:szCs w:val="32"/>
        </w:rPr>
        <w:t>促进</w:t>
      </w:r>
      <w:r>
        <w:rPr>
          <w:rFonts w:ascii="仿宋" w:eastAsia="仿宋" w:hAnsi="仿宋" w:cs="仿宋" w:hint="eastAsia"/>
          <w:sz w:val="32"/>
          <w:szCs w:val="32"/>
        </w:rPr>
        <w:t>了绩效管理工作任务落实。对绩效管理任务落实情况进行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考核通报，</w:t>
      </w:r>
      <w:r>
        <w:rPr>
          <w:rFonts w:ascii="仿宋" w:eastAsia="仿宋" w:hAnsi="仿宋" w:cs="仿宋" w:hint="eastAsia"/>
          <w:sz w:val="32"/>
          <w:szCs w:val="32"/>
        </w:rPr>
        <w:t>有效</w:t>
      </w:r>
      <w:r>
        <w:rPr>
          <w:rFonts w:ascii="仿宋" w:eastAsia="仿宋" w:hAnsi="仿宋" w:cs="仿宋" w:hint="eastAsia"/>
          <w:sz w:val="32"/>
          <w:szCs w:val="32"/>
        </w:rPr>
        <w:t>督促预算绩效管理各项措施落细落小落实。</w:t>
      </w:r>
      <w:r>
        <w:rPr>
          <w:rFonts w:ascii="仿宋" w:eastAsia="仿宋" w:hAnsi="仿宋" w:cs="仿宋" w:hint="eastAsia"/>
          <w:sz w:val="32"/>
          <w:szCs w:val="32"/>
        </w:rPr>
        <w:t>印发了《</w:t>
      </w:r>
      <w:r>
        <w:rPr>
          <w:rFonts w:ascii="仿宋" w:eastAsia="仿宋" w:hAnsi="仿宋" w:cs="仿宋" w:hint="eastAsia"/>
          <w:sz w:val="32"/>
          <w:szCs w:val="32"/>
        </w:rPr>
        <w:t>关于开展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年度县级预算绩效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工作的通知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，对全县预算绩效管理工作进行了安排部署，对全县财务分管领导和财务人员进行了业务培训，增强了各级开展绩效评价工作的能力。</w:t>
      </w:r>
      <w:bookmarkStart w:id="0" w:name="_GoBack"/>
      <w:bookmarkEnd w:id="0"/>
    </w:p>
    <w:p w:rsidR="00F7565B" w:rsidRDefault="007E33D4" w:rsidP="00BB1E4D">
      <w:pPr>
        <w:spacing w:line="579" w:lineRule="exact"/>
        <w:ind w:firstLineChars="200" w:firstLine="643"/>
        <w:rPr>
          <w:rFonts w:ascii="楷体_GB2312" w:eastAsia="楷体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不断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强化制度建设。</w:t>
      </w:r>
      <w:r>
        <w:rPr>
          <w:rFonts w:ascii="仿宋" w:eastAsia="仿宋" w:hAnsi="仿宋" w:cs="仿宋" w:hint="eastAsia"/>
          <w:sz w:val="32"/>
          <w:szCs w:val="32"/>
        </w:rPr>
        <w:t>坚持以立规建章为切入点，积极稳妥推进全面预算绩效管理工作。制订了《灵台县县级预算绩效管理办法（试行）》、《灵台县县级部门预算绩效评估管理办法（试行）》、《灵台县县级部门预算绩效目标管理办法（试行）》、《灵台县县级部门预算绩效运行监控管理办法（试行）》、《灵台县县级项目支出绩效评价实施办法（试行）》、《灵台县部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（单位）整体支出绩效评价实施办法（试行）、《灵台县财政支出绩效评价结果应用办法（试行）》等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个办法，规范了绩效管理工作流程，形成了较为完备的评价体系，建立了“无绩效不预算，无预算不支出”和“花钱必问效</w:t>
      </w:r>
      <w:r>
        <w:rPr>
          <w:rFonts w:ascii="仿宋" w:eastAsia="仿宋" w:hAnsi="仿宋" w:cs="仿宋" w:hint="eastAsia"/>
          <w:sz w:val="32"/>
          <w:szCs w:val="32"/>
        </w:rPr>
        <w:t>，无效必问责”的绩效管理模式。初步建成了“预算编制有目标、预算执行有监控、预算完成有评价、评价结果有反馈、反馈结果有应用”预算绩效管理工作机制。</w:t>
      </w:r>
    </w:p>
    <w:p w:rsidR="00F7565B" w:rsidRDefault="007E33D4" w:rsidP="00BB1E4D">
      <w:pPr>
        <w:spacing w:line="579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三是组织编制绩效目标。</w:t>
      </w:r>
      <w:r>
        <w:rPr>
          <w:rFonts w:ascii="仿宋" w:eastAsia="仿宋" w:hAnsi="仿宋" w:cs="仿宋" w:hint="eastAsia"/>
          <w:sz w:val="32"/>
          <w:szCs w:val="32"/>
        </w:rPr>
        <w:t>按照预算绩效目标管理“全覆盖”要求和“谁申请资金，谁编制目标”的原则，</w:t>
      </w:r>
      <w:r>
        <w:rPr>
          <w:rFonts w:ascii="仿宋" w:eastAsia="仿宋" w:hAnsi="仿宋" w:cs="仿宋" w:hint="eastAsia"/>
          <w:sz w:val="32"/>
          <w:szCs w:val="32"/>
        </w:rPr>
        <w:t>年内</w:t>
      </w:r>
      <w:r>
        <w:rPr>
          <w:rFonts w:ascii="仿宋" w:eastAsia="仿宋" w:hAnsi="仿宋" w:cs="仿宋" w:hint="eastAsia"/>
          <w:sz w:val="32"/>
          <w:szCs w:val="32"/>
        </w:rPr>
        <w:t>组织对全县</w:t>
      </w:r>
      <w:r>
        <w:rPr>
          <w:rFonts w:ascii="仿宋" w:eastAsia="仿宋" w:hAnsi="仿宋" w:cs="仿宋" w:hint="eastAsia"/>
          <w:sz w:val="32"/>
          <w:szCs w:val="32"/>
        </w:rPr>
        <w:t>166</w:t>
      </w:r>
      <w:r>
        <w:rPr>
          <w:rFonts w:ascii="仿宋" w:eastAsia="仿宋" w:hAnsi="仿宋" w:cs="仿宋" w:hint="eastAsia"/>
          <w:sz w:val="32"/>
          <w:szCs w:val="32"/>
        </w:rPr>
        <w:t>个预算单位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231</w:t>
      </w:r>
      <w:r>
        <w:rPr>
          <w:rFonts w:ascii="仿宋" w:eastAsia="仿宋" w:hAnsi="仿宋" w:cs="仿宋" w:hint="eastAsia"/>
          <w:sz w:val="32"/>
          <w:szCs w:val="32"/>
        </w:rPr>
        <w:t>个项目编制了部门（单位）整体支出绩效目标和项目支出绩效目标，涉及资金</w:t>
      </w:r>
      <w:r>
        <w:rPr>
          <w:rFonts w:ascii="仿宋" w:eastAsia="仿宋" w:hAnsi="仿宋" w:cs="仿宋" w:hint="eastAsia"/>
          <w:sz w:val="32"/>
          <w:szCs w:val="32"/>
        </w:rPr>
        <w:t>10.72</w:t>
      </w:r>
      <w:r>
        <w:rPr>
          <w:rFonts w:ascii="仿宋" w:eastAsia="仿宋" w:hAnsi="仿宋" w:cs="仿宋" w:hint="eastAsia"/>
          <w:sz w:val="32"/>
          <w:szCs w:val="32"/>
        </w:rPr>
        <w:t>亿元，并对部门编制的绩效目标逐单位、逐项目进行了审核和批复，部门（单位）整体支出绩效目标管理和项目支出绩效目标管理覆盖面达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。同时，针对预算管理信息化改</w:t>
      </w:r>
      <w:r>
        <w:rPr>
          <w:rFonts w:ascii="仿宋" w:eastAsia="仿宋" w:hAnsi="仿宋" w:cs="仿宋" w:hint="eastAsia"/>
          <w:sz w:val="32"/>
          <w:szCs w:val="32"/>
        </w:rPr>
        <w:t>革要求，对预算单位在预算管理一体化</w:t>
      </w:r>
      <w:r>
        <w:rPr>
          <w:rFonts w:ascii="仿宋" w:eastAsia="仿宋" w:hAnsi="仿宋" w:cs="仿宋" w:hint="eastAsia"/>
          <w:sz w:val="32"/>
          <w:szCs w:val="32"/>
        </w:rPr>
        <w:t>2.0</w:t>
      </w:r>
      <w:r>
        <w:rPr>
          <w:rFonts w:ascii="仿宋" w:eastAsia="仿宋" w:hAnsi="仿宋" w:cs="仿宋" w:hint="eastAsia"/>
          <w:sz w:val="32"/>
          <w:szCs w:val="32"/>
        </w:rPr>
        <w:t>系统录入的特定目标类项目、公用经费和人员类项目实现了支出绩效目标审核。</w:t>
      </w:r>
    </w:p>
    <w:p w:rsidR="00F7565B" w:rsidRDefault="007E33D4" w:rsidP="00BB1E4D">
      <w:pPr>
        <w:spacing w:line="579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四是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实行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绩效运行监控。</w:t>
      </w:r>
      <w:r>
        <w:rPr>
          <w:rFonts w:ascii="仿宋" w:eastAsia="仿宋" w:hAnsi="仿宋" w:cs="仿宋" w:hint="eastAsia"/>
          <w:sz w:val="32"/>
          <w:szCs w:val="32"/>
        </w:rPr>
        <w:t>建立了绩效运行监控机制，印发了《灵台县财政局关于开展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预算绩效运行监控工作的通知》，按照“谁支出、谁负责”的原则，对绩效目标实现程度和预算执行进度开展“双监控”，重点对预算执行情况、项目实施进程、资金支出进度、绩效目标完成情况等方面进行检查。发现问题及时提出了整改措施，督促部门和单位落实支出责任，加快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执行进度，有效防止财政资金沉淀，进一步提高了预算执行效率和资金使用</w:t>
      </w:r>
      <w:r>
        <w:rPr>
          <w:rFonts w:ascii="仿宋" w:eastAsia="仿宋" w:hAnsi="仿宋" w:cs="仿宋" w:hint="eastAsia"/>
          <w:sz w:val="32"/>
          <w:szCs w:val="32"/>
        </w:rPr>
        <w:t>效益，确保绩效目标如期实现。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年绩效监控覆盖所有单位和项目，共</w:t>
      </w:r>
      <w:r>
        <w:rPr>
          <w:rFonts w:ascii="仿宋" w:eastAsia="仿宋" w:hAnsi="仿宋" w:cs="仿宋" w:hint="eastAsia"/>
          <w:sz w:val="32"/>
          <w:szCs w:val="32"/>
        </w:rPr>
        <w:t>166</w:t>
      </w:r>
      <w:r>
        <w:rPr>
          <w:rFonts w:ascii="仿宋" w:eastAsia="仿宋" w:hAnsi="仿宋" w:cs="仿宋" w:hint="eastAsia"/>
          <w:sz w:val="32"/>
          <w:szCs w:val="32"/>
        </w:rPr>
        <w:t>个预算部门（单位）</w:t>
      </w:r>
      <w:r>
        <w:rPr>
          <w:rFonts w:ascii="仿宋" w:eastAsia="仿宋" w:hAnsi="仿宋" w:cs="仿宋" w:hint="eastAsia"/>
          <w:sz w:val="32"/>
          <w:szCs w:val="32"/>
        </w:rPr>
        <w:t>280</w:t>
      </w:r>
      <w:r>
        <w:rPr>
          <w:rFonts w:ascii="仿宋" w:eastAsia="仿宋" w:hAnsi="仿宋" w:cs="仿宋" w:hint="eastAsia"/>
          <w:sz w:val="32"/>
          <w:szCs w:val="32"/>
        </w:rPr>
        <w:t>个项目，涉及资金</w:t>
      </w:r>
      <w:r>
        <w:rPr>
          <w:rFonts w:ascii="仿宋" w:eastAsia="仿宋" w:hAnsi="仿宋" w:cs="仿宋" w:hint="eastAsia"/>
          <w:sz w:val="32"/>
          <w:szCs w:val="32"/>
        </w:rPr>
        <w:t>10.72</w:t>
      </w:r>
      <w:r>
        <w:rPr>
          <w:rFonts w:ascii="仿宋" w:eastAsia="仿宋" w:hAnsi="仿宋" w:cs="仿宋" w:hint="eastAsia"/>
          <w:sz w:val="32"/>
          <w:szCs w:val="32"/>
        </w:rPr>
        <w:t>亿元。</w:t>
      </w:r>
    </w:p>
    <w:p w:rsidR="00F7565B" w:rsidRDefault="007E33D4" w:rsidP="00BB1E4D">
      <w:pPr>
        <w:spacing w:line="579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五是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扎实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开展绩效评价。</w:t>
      </w:r>
      <w:r>
        <w:rPr>
          <w:rFonts w:ascii="仿宋" w:eastAsia="仿宋" w:hAnsi="仿宋" w:cs="仿宋" w:hint="eastAsia"/>
          <w:sz w:val="32"/>
          <w:szCs w:val="32"/>
        </w:rPr>
        <w:t>按照《灵台县部门（单位）整体支出绩效评价实施办法（试行）》、《灵台县项目支出绩效评价实施办法（试行）》办法要求，根据组织实施主体不同，采取单位自评、部门评价和财政重点评价相结合的方式，组织全县所有预算单位开展了部门整体支出、项目支出和上级转移支付资金绩效自评，评价总额达</w:t>
      </w:r>
      <w:r>
        <w:rPr>
          <w:rFonts w:ascii="仿宋" w:eastAsia="仿宋" w:hAnsi="仿宋" w:cs="仿宋" w:hint="eastAsia"/>
          <w:sz w:val="32"/>
          <w:szCs w:val="32"/>
        </w:rPr>
        <w:t>10.9</w:t>
      </w:r>
      <w:r>
        <w:rPr>
          <w:rFonts w:ascii="仿宋" w:eastAsia="仿宋" w:hAnsi="仿宋" w:cs="仿宋" w:hint="eastAsia"/>
          <w:sz w:val="32"/>
          <w:szCs w:val="32"/>
        </w:rPr>
        <w:t>亿元。实现项目支出及部门整体支出绩效自评覆盖率达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7565B" w:rsidRDefault="007E33D4" w:rsidP="00BB1E4D">
      <w:pPr>
        <w:spacing w:line="579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六是强化绩效结果应用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按照“谁主管、谁使用、谁负责”的原则，将绩效评价结果与预算安排和政策调整挂钩，对于上年度绩效评价中资金管理规范、使用效率高，绩效目标完成好的优先考虑给予重点支持；对绩效一般的政策和项目</w:t>
      </w:r>
      <w:r>
        <w:rPr>
          <w:rFonts w:ascii="仿宋" w:eastAsia="仿宋" w:hAnsi="仿宋" w:cs="仿宋" w:hint="eastAsia"/>
          <w:sz w:val="32"/>
          <w:szCs w:val="32"/>
        </w:rPr>
        <w:t>及时</w:t>
      </w:r>
      <w:r>
        <w:rPr>
          <w:rFonts w:ascii="仿宋" w:eastAsia="仿宋" w:hAnsi="仿宋" w:cs="仿宋" w:hint="eastAsia"/>
          <w:sz w:val="32"/>
          <w:szCs w:val="32"/>
        </w:rPr>
        <w:t>督促改进，对资金管理混乱、使用效益低下，绩效目标完成差的采取调减资金规模、取消预算项目，对长期闲置和沉淀的资金一律收回财政总预算，并按照有关规定统筹用于亟需支持的领域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7565B" w:rsidRDefault="007E33D4" w:rsidP="00BB1E4D">
      <w:pPr>
        <w:spacing w:line="579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七是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积极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推进信息公开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年绩效评价结果及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年绩效目标除涉密等有关项目外，均随同部门决算及部门预算在县政府门户网站进行公开，接受社会监督。</w:t>
      </w:r>
    </w:p>
    <w:p w:rsidR="00F7565B" w:rsidRDefault="00F7565B" w:rsidP="00BB1E4D">
      <w:pPr>
        <w:spacing w:line="579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</w:p>
    <w:sectPr w:rsidR="00F7565B" w:rsidSect="00BB1E4D">
      <w:footerReference w:type="default" r:id="rId6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D4" w:rsidRDefault="007E33D4" w:rsidP="00F7565B">
      <w:r>
        <w:separator/>
      </w:r>
    </w:p>
  </w:endnote>
  <w:endnote w:type="continuationSeparator" w:id="1">
    <w:p w:rsidR="007E33D4" w:rsidRDefault="007E33D4" w:rsidP="00F7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9321"/>
    </w:sdtPr>
    <w:sdtContent>
      <w:p w:rsidR="00F7565B" w:rsidRDefault="007E33D4">
        <w:pPr>
          <w:pStyle w:val="a5"/>
          <w:jc w:val="center"/>
        </w:pPr>
        <w:r>
          <w:rPr>
            <w:rFonts w:hint="eastAsia"/>
            <w:sz w:val="28"/>
            <w:szCs w:val="28"/>
          </w:rPr>
          <w:t>—</w:t>
        </w:r>
        <w:r w:rsidR="00F7565B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F7565B">
          <w:rPr>
            <w:sz w:val="28"/>
            <w:szCs w:val="28"/>
          </w:rPr>
          <w:fldChar w:fldCharType="separate"/>
        </w:r>
        <w:r w:rsidR="00BB1E4D" w:rsidRPr="00BB1E4D">
          <w:rPr>
            <w:noProof/>
            <w:sz w:val="28"/>
            <w:szCs w:val="28"/>
            <w:lang w:val="zh-CN"/>
          </w:rPr>
          <w:t>1</w:t>
        </w:r>
        <w:r w:rsidR="00F756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F7565B" w:rsidRDefault="00F75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D4" w:rsidRDefault="007E33D4" w:rsidP="00F7565B">
      <w:r>
        <w:separator/>
      </w:r>
    </w:p>
  </w:footnote>
  <w:footnote w:type="continuationSeparator" w:id="1">
    <w:p w:rsidR="007E33D4" w:rsidRDefault="007E33D4" w:rsidP="00F75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VhODBhNTVhZDRhYTQxMmNhNjQxZDZmNTc4MTI4MTUifQ=="/>
  </w:docVars>
  <w:rsids>
    <w:rsidRoot w:val="00FE5063"/>
    <w:rsid w:val="00001741"/>
    <w:rsid w:val="000343EA"/>
    <w:rsid w:val="000917F2"/>
    <w:rsid w:val="00097BF2"/>
    <w:rsid w:val="000C536D"/>
    <w:rsid w:val="000D64A6"/>
    <w:rsid w:val="001009B4"/>
    <w:rsid w:val="00100D85"/>
    <w:rsid w:val="00104FD9"/>
    <w:rsid w:val="00106C0A"/>
    <w:rsid w:val="00134D54"/>
    <w:rsid w:val="00160AA6"/>
    <w:rsid w:val="001822D0"/>
    <w:rsid w:val="001A3AD1"/>
    <w:rsid w:val="001D71FF"/>
    <w:rsid w:val="001E0F53"/>
    <w:rsid w:val="00201632"/>
    <w:rsid w:val="00250975"/>
    <w:rsid w:val="00262085"/>
    <w:rsid w:val="002703ED"/>
    <w:rsid w:val="00282740"/>
    <w:rsid w:val="002C0147"/>
    <w:rsid w:val="002D3D52"/>
    <w:rsid w:val="002E4F8C"/>
    <w:rsid w:val="00301ABA"/>
    <w:rsid w:val="00303324"/>
    <w:rsid w:val="00305BD0"/>
    <w:rsid w:val="0031593B"/>
    <w:rsid w:val="003277E2"/>
    <w:rsid w:val="003660D0"/>
    <w:rsid w:val="00397CE9"/>
    <w:rsid w:val="003E71FB"/>
    <w:rsid w:val="003F7795"/>
    <w:rsid w:val="00422166"/>
    <w:rsid w:val="004430E2"/>
    <w:rsid w:val="004446CD"/>
    <w:rsid w:val="00444ABE"/>
    <w:rsid w:val="00496452"/>
    <w:rsid w:val="004A0A72"/>
    <w:rsid w:val="004B00F4"/>
    <w:rsid w:val="004D4AF2"/>
    <w:rsid w:val="00504DAE"/>
    <w:rsid w:val="005265F9"/>
    <w:rsid w:val="00555B86"/>
    <w:rsid w:val="00556184"/>
    <w:rsid w:val="005568D3"/>
    <w:rsid w:val="00556D12"/>
    <w:rsid w:val="005614E5"/>
    <w:rsid w:val="005B0524"/>
    <w:rsid w:val="005B65F6"/>
    <w:rsid w:val="005C3939"/>
    <w:rsid w:val="005D039F"/>
    <w:rsid w:val="005F4DCB"/>
    <w:rsid w:val="005F6D89"/>
    <w:rsid w:val="00601E13"/>
    <w:rsid w:val="00621E6D"/>
    <w:rsid w:val="00627FE8"/>
    <w:rsid w:val="00640C6E"/>
    <w:rsid w:val="00651909"/>
    <w:rsid w:val="00661CCB"/>
    <w:rsid w:val="006A2754"/>
    <w:rsid w:val="006E5FA3"/>
    <w:rsid w:val="006F5BB0"/>
    <w:rsid w:val="006F6ACC"/>
    <w:rsid w:val="00700379"/>
    <w:rsid w:val="00705268"/>
    <w:rsid w:val="00762709"/>
    <w:rsid w:val="0076578C"/>
    <w:rsid w:val="007B1B7D"/>
    <w:rsid w:val="007B23C8"/>
    <w:rsid w:val="007C06C2"/>
    <w:rsid w:val="007C0954"/>
    <w:rsid w:val="007E33D4"/>
    <w:rsid w:val="00804646"/>
    <w:rsid w:val="00810294"/>
    <w:rsid w:val="00821EAB"/>
    <w:rsid w:val="00833B11"/>
    <w:rsid w:val="008862F0"/>
    <w:rsid w:val="008C0F85"/>
    <w:rsid w:val="00901D81"/>
    <w:rsid w:val="00907F0C"/>
    <w:rsid w:val="0096385A"/>
    <w:rsid w:val="009821CB"/>
    <w:rsid w:val="009A7D73"/>
    <w:rsid w:val="009B2C9D"/>
    <w:rsid w:val="009C28EF"/>
    <w:rsid w:val="009D6A8F"/>
    <w:rsid w:val="009E3636"/>
    <w:rsid w:val="00A0176C"/>
    <w:rsid w:val="00A02651"/>
    <w:rsid w:val="00A45B61"/>
    <w:rsid w:val="00A538DD"/>
    <w:rsid w:val="00A74578"/>
    <w:rsid w:val="00A76144"/>
    <w:rsid w:val="00A82DC0"/>
    <w:rsid w:val="00A83508"/>
    <w:rsid w:val="00AC4E71"/>
    <w:rsid w:val="00AF23DF"/>
    <w:rsid w:val="00B00DFE"/>
    <w:rsid w:val="00B074D5"/>
    <w:rsid w:val="00B1777F"/>
    <w:rsid w:val="00B36A72"/>
    <w:rsid w:val="00BB1E4D"/>
    <w:rsid w:val="00BD3E52"/>
    <w:rsid w:val="00BE1D53"/>
    <w:rsid w:val="00BE2BB6"/>
    <w:rsid w:val="00BF3E5A"/>
    <w:rsid w:val="00C0225B"/>
    <w:rsid w:val="00C541AF"/>
    <w:rsid w:val="00C64729"/>
    <w:rsid w:val="00C66C8E"/>
    <w:rsid w:val="00CC0876"/>
    <w:rsid w:val="00CE246E"/>
    <w:rsid w:val="00CE564F"/>
    <w:rsid w:val="00CF4146"/>
    <w:rsid w:val="00CF6840"/>
    <w:rsid w:val="00D448D1"/>
    <w:rsid w:val="00D45F54"/>
    <w:rsid w:val="00D52B9F"/>
    <w:rsid w:val="00D554E9"/>
    <w:rsid w:val="00DA76DC"/>
    <w:rsid w:val="00DC5EDB"/>
    <w:rsid w:val="00DD1E04"/>
    <w:rsid w:val="00E21377"/>
    <w:rsid w:val="00E26F5D"/>
    <w:rsid w:val="00E45916"/>
    <w:rsid w:val="00E506E1"/>
    <w:rsid w:val="00EA3197"/>
    <w:rsid w:val="00EB63E2"/>
    <w:rsid w:val="00EC6A74"/>
    <w:rsid w:val="00EE5FE9"/>
    <w:rsid w:val="00EF5332"/>
    <w:rsid w:val="00F02766"/>
    <w:rsid w:val="00F26714"/>
    <w:rsid w:val="00F338F5"/>
    <w:rsid w:val="00F55E77"/>
    <w:rsid w:val="00F67187"/>
    <w:rsid w:val="00F74DE6"/>
    <w:rsid w:val="00F7565B"/>
    <w:rsid w:val="00F81C73"/>
    <w:rsid w:val="00F92D57"/>
    <w:rsid w:val="00FB3F39"/>
    <w:rsid w:val="00FD2751"/>
    <w:rsid w:val="00FE5063"/>
    <w:rsid w:val="00FE6263"/>
    <w:rsid w:val="00FF453F"/>
    <w:rsid w:val="0326072B"/>
    <w:rsid w:val="03741C8C"/>
    <w:rsid w:val="04A545C1"/>
    <w:rsid w:val="095B3E84"/>
    <w:rsid w:val="0D511DF4"/>
    <w:rsid w:val="0E397A7F"/>
    <w:rsid w:val="14DD38D9"/>
    <w:rsid w:val="15D53161"/>
    <w:rsid w:val="17FF5486"/>
    <w:rsid w:val="1B962F97"/>
    <w:rsid w:val="1C3653A8"/>
    <w:rsid w:val="1C76755F"/>
    <w:rsid w:val="21775292"/>
    <w:rsid w:val="23CA62BD"/>
    <w:rsid w:val="256462AD"/>
    <w:rsid w:val="2B8647BE"/>
    <w:rsid w:val="395F1F80"/>
    <w:rsid w:val="3ABB08A3"/>
    <w:rsid w:val="3BE170D0"/>
    <w:rsid w:val="4FA34789"/>
    <w:rsid w:val="5EDD25CB"/>
    <w:rsid w:val="644F60E0"/>
    <w:rsid w:val="6EE15EC1"/>
    <w:rsid w:val="6F772501"/>
    <w:rsid w:val="6FAE6342"/>
    <w:rsid w:val="71A53BA8"/>
    <w:rsid w:val="7CC0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7565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756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7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7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F7565B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F7565B"/>
  </w:style>
  <w:style w:type="paragraph" w:styleId="a8">
    <w:name w:val="List Paragraph"/>
    <w:basedOn w:val="a"/>
    <w:uiPriority w:val="34"/>
    <w:qFormat/>
    <w:rsid w:val="00F7565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F7565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756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756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3</cp:revision>
  <cp:lastPrinted>2022-09-14T07:47:00Z</cp:lastPrinted>
  <dcterms:created xsi:type="dcterms:W3CDTF">2022-09-13T09:57:00Z</dcterms:created>
  <dcterms:modified xsi:type="dcterms:W3CDTF">2022-09-14T09:04:00Z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DAAC6D88300C4D5CB74C6136DF452380</vt:lpwstr>
  </property>
</Properties>
</file>