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02" w:rsidRDefault="00A45F02" w:rsidP="00B40301">
      <w:pPr>
        <w:spacing w:line="560" w:lineRule="exact"/>
        <w:jc w:val="center"/>
        <w:rPr>
          <w:rFonts w:ascii="宋体" w:cs="Times New Roman"/>
          <w:b/>
          <w:bCs/>
          <w:sz w:val="40"/>
          <w:szCs w:val="40"/>
        </w:rPr>
      </w:pPr>
      <w:bookmarkStart w:id="0" w:name="_GoBack"/>
      <w:bookmarkEnd w:id="0"/>
    </w:p>
    <w:p w:rsidR="00A45F02" w:rsidRDefault="00695B75" w:rsidP="00B40301">
      <w:pPr>
        <w:spacing w:line="560" w:lineRule="exact"/>
        <w:jc w:val="center"/>
        <w:rPr>
          <w:rFonts w:ascii="方正小标宋简体" w:eastAsia="方正小标宋简体" w:cs="Times New Roman"/>
          <w:bCs/>
          <w:sz w:val="44"/>
          <w:szCs w:val="44"/>
        </w:rPr>
      </w:pPr>
      <w:r>
        <w:rPr>
          <w:rFonts w:ascii="方正小标宋简体" w:eastAsia="方正小标宋简体" w:hAnsi="宋体" w:cs="宋体" w:hint="eastAsia"/>
          <w:bCs/>
          <w:sz w:val="44"/>
          <w:szCs w:val="44"/>
        </w:rPr>
        <w:t>关于202</w:t>
      </w:r>
      <w:r w:rsidR="00C73702">
        <w:rPr>
          <w:rFonts w:ascii="方正小标宋简体" w:eastAsia="方正小标宋简体" w:hAnsi="宋体" w:cs="宋体" w:hint="eastAsia"/>
          <w:bCs/>
          <w:sz w:val="44"/>
          <w:szCs w:val="44"/>
        </w:rPr>
        <w:t>1</w:t>
      </w:r>
      <w:r>
        <w:rPr>
          <w:rFonts w:ascii="方正小标宋简体" w:eastAsia="方正小标宋简体" w:hAnsi="宋体" w:cs="宋体" w:hint="eastAsia"/>
          <w:bCs/>
          <w:sz w:val="44"/>
          <w:szCs w:val="44"/>
        </w:rPr>
        <w:t>灵台县政府性基金收入情况</w:t>
      </w:r>
    </w:p>
    <w:p w:rsidR="00A45F02" w:rsidRDefault="00695B75" w:rsidP="00B40301">
      <w:pPr>
        <w:spacing w:line="560" w:lineRule="exact"/>
        <w:jc w:val="center"/>
        <w:rPr>
          <w:rFonts w:ascii="方正小标宋简体" w:eastAsia="方正小标宋简体" w:cs="Times New Roman"/>
          <w:bCs/>
          <w:sz w:val="44"/>
          <w:szCs w:val="44"/>
        </w:rPr>
      </w:pPr>
      <w:r>
        <w:rPr>
          <w:rFonts w:ascii="方正小标宋简体" w:eastAsia="方正小标宋简体" w:hAnsi="宋体" w:cs="宋体" w:hint="eastAsia"/>
          <w:bCs/>
          <w:sz w:val="44"/>
          <w:szCs w:val="44"/>
        </w:rPr>
        <w:t>及相关政策的说明</w:t>
      </w:r>
    </w:p>
    <w:p w:rsidR="00A45F02" w:rsidRDefault="00A45F02" w:rsidP="00B40301">
      <w:pPr>
        <w:pStyle w:val="a3"/>
        <w:adjustRightInd w:val="0"/>
        <w:snapToGrid w:val="0"/>
        <w:spacing w:line="560" w:lineRule="exact"/>
        <w:rPr>
          <w:rFonts w:ascii="方正小标宋简体" w:eastAsia="方正小标宋简体" w:hAnsi="黑体" w:cs="Times New Roman"/>
          <w:sz w:val="32"/>
          <w:szCs w:val="32"/>
        </w:rPr>
      </w:pPr>
    </w:p>
    <w:p w:rsidR="00A45F02" w:rsidRDefault="00695B75" w:rsidP="00B40301">
      <w:pPr>
        <w:pStyle w:val="a3"/>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一、收入决算</w:t>
      </w:r>
    </w:p>
    <w:p w:rsidR="00A45F02" w:rsidRDefault="00695B75" w:rsidP="00B40301">
      <w:pPr>
        <w:pStyle w:val="a3"/>
        <w:adjustRightInd w:val="0"/>
        <w:snapToGrid w:val="0"/>
        <w:spacing w:line="560" w:lineRule="exact"/>
        <w:ind w:firstLine="640"/>
        <w:rPr>
          <w:rFonts w:ascii="Times New Roman" w:eastAsia="仿宋" w:hAnsi="Times New Roman" w:cs="Times New Roman"/>
          <w:snapToGrid w:val="0"/>
          <w:sz w:val="32"/>
          <w:szCs w:val="32"/>
        </w:rPr>
      </w:pPr>
      <w:r>
        <w:rPr>
          <w:rFonts w:ascii="Times New Roman" w:eastAsia="仿宋" w:hAnsi="Times New Roman" w:cs="Times New Roman"/>
          <w:snapToGrid w:val="0"/>
          <w:sz w:val="32"/>
          <w:szCs w:val="32"/>
        </w:rPr>
        <w:t>202</w:t>
      </w:r>
      <w:r w:rsidR="006D0973">
        <w:rPr>
          <w:rFonts w:ascii="Times New Roman" w:eastAsia="仿宋" w:hAnsi="Times New Roman" w:cs="Times New Roman" w:hint="eastAsia"/>
          <w:snapToGrid w:val="0"/>
          <w:sz w:val="32"/>
          <w:szCs w:val="32"/>
        </w:rPr>
        <w:t>1</w:t>
      </w:r>
      <w:r>
        <w:rPr>
          <w:rFonts w:ascii="Times New Roman" w:eastAsia="仿宋" w:hAnsi="Times New Roman" w:cs="Times New Roman"/>
          <w:snapToGrid w:val="0"/>
          <w:sz w:val="32"/>
          <w:szCs w:val="32"/>
        </w:rPr>
        <w:t>年，全县政府性基金预算收入完成</w:t>
      </w:r>
      <w:r w:rsidR="00C7042A">
        <w:rPr>
          <w:rFonts w:ascii="Times New Roman" w:eastAsia="仿宋" w:hAnsi="Times New Roman" w:cs="Times New Roman" w:hint="eastAsia"/>
          <w:snapToGrid w:val="0"/>
          <w:sz w:val="32"/>
          <w:szCs w:val="32"/>
        </w:rPr>
        <w:t>11597</w:t>
      </w:r>
      <w:r>
        <w:rPr>
          <w:rFonts w:ascii="Times New Roman" w:eastAsia="仿宋" w:hAnsi="Times New Roman" w:cs="Times New Roman"/>
          <w:snapToGrid w:val="0"/>
          <w:sz w:val="32"/>
          <w:szCs w:val="32"/>
        </w:rPr>
        <w:t>万元，占调整预算的</w:t>
      </w:r>
      <w:r>
        <w:rPr>
          <w:rFonts w:ascii="Times New Roman" w:eastAsia="仿宋" w:hAnsi="Times New Roman" w:cs="Times New Roman"/>
          <w:snapToGrid w:val="0"/>
          <w:sz w:val="32"/>
          <w:szCs w:val="32"/>
        </w:rPr>
        <w:t>100%</w:t>
      </w:r>
      <w:r>
        <w:rPr>
          <w:rFonts w:ascii="Times New Roman" w:eastAsia="仿宋" w:hAnsi="Times New Roman" w:cs="Times New Roman"/>
          <w:snapToGrid w:val="0"/>
          <w:sz w:val="32"/>
          <w:szCs w:val="32"/>
        </w:rPr>
        <w:t>，较上年</w:t>
      </w:r>
      <w:r w:rsidR="00F362FD">
        <w:rPr>
          <w:rFonts w:ascii="Times New Roman" w:eastAsia="仿宋" w:hAnsi="Times New Roman" w:cs="Times New Roman" w:hint="eastAsia"/>
          <w:snapToGrid w:val="0"/>
          <w:sz w:val="32"/>
          <w:szCs w:val="32"/>
        </w:rPr>
        <w:t>增</w:t>
      </w:r>
      <w:r>
        <w:rPr>
          <w:rFonts w:ascii="Times New Roman" w:eastAsia="仿宋" w:hAnsi="Times New Roman" w:cs="Times New Roman"/>
          <w:snapToGrid w:val="0"/>
          <w:sz w:val="32"/>
          <w:szCs w:val="32"/>
        </w:rPr>
        <w:t>收</w:t>
      </w:r>
      <w:r w:rsidR="00F362FD">
        <w:rPr>
          <w:rFonts w:ascii="Times New Roman" w:eastAsia="仿宋" w:hAnsi="Times New Roman" w:cs="Times New Roman" w:hint="eastAsia"/>
          <w:snapToGrid w:val="0"/>
          <w:sz w:val="32"/>
          <w:szCs w:val="32"/>
        </w:rPr>
        <w:t>2360</w:t>
      </w:r>
      <w:r>
        <w:rPr>
          <w:rFonts w:ascii="Times New Roman" w:eastAsia="仿宋" w:hAnsi="Times New Roman" w:cs="Times New Roman"/>
          <w:snapToGrid w:val="0"/>
          <w:sz w:val="32"/>
          <w:szCs w:val="32"/>
        </w:rPr>
        <w:t>万元，</w:t>
      </w:r>
      <w:r w:rsidR="00F362FD">
        <w:rPr>
          <w:rFonts w:ascii="Times New Roman" w:eastAsia="仿宋" w:hAnsi="Times New Roman" w:cs="Times New Roman" w:hint="eastAsia"/>
          <w:snapToGrid w:val="0"/>
          <w:sz w:val="32"/>
          <w:szCs w:val="32"/>
        </w:rPr>
        <w:t>增长</w:t>
      </w:r>
      <w:r w:rsidR="00F362FD">
        <w:rPr>
          <w:rFonts w:ascii="Times New Roman" w:eastAsia="仿宋" w:hAnsi="Times New Roman" w:cs="Times New Roman" w:hint="eastAsia"/>
          <w:snapToGrid w:val="0"/>
          <w:sz w:val="32"/>
          <w:szCs w:val="32"/>
        </w:rPr>
        <w:t>25.6</w:t>
      </w:r>
      <w:r>
        <w:rPr>
          <w:rFonts w:ascii="Times New Roman" w:eastAsia="仿宋" w:hAnsi="Times New Roman" w:cs="Times New Roman"/>
          <w:snapToGrid w:val="0"/>
          <w:sz w:val="32"/>
          <w:szCs w:val="32"/>
        </w:rPr>
        <w:t>%</w:t>
      </w:r>
      <w:r>
        <w:rPr>
          <w:rFonts w:ascii="Times New Roman" w:eastAsia="仿宋" w:hAnsi="Times New Roman" w:cs="Times New Roman"/>
          <w:snapToGrid w:val="0"/>
          <w:sz w:val="32"/>
          <w:szCs w:val="32"/>
        </w:rPr>
        <w:t>。</w:t>
      </w:r>
    </w:p>
    <w:p w:rsidR="00A45F02" w:rsidRDefault="00695B75" w:rsidP="00B40301">
      <w:pPr>
        <w:pStyle w:val="a3"/>
        <w:adjustRightInd w:val="0"/>
        <w:snapToGrid w:val="0"/>
        <w:spacing w:line="56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其中：</w:t>
      </w:r>
    </w:p>
    <w:p w:rsidR="00A45F02" w:rsidRDefault="00695B75" w:rsidP="00B40301">
      <w:pPr>
        <w:spacing w:line="560" w:lineRule="exact"/>
        <w:ind w:firstLineChars="200" w:firstLine="640"/>
        <w:rPr>
          <w:rFonts w:ascii="Times New Roman" w:eastAsia="仿宋" w:hAnsi="Times New Roman" w:cs="Times New Roman"/>
          <w:snapToGrid w:val="0"/>
          <w:kern w:val="0"/>
          <w:sz w:val="32"/>
          <w:szCs w:val="32"/>
        </w:rPr>
      </w:pPr>
      <w:r>
        <w:rPr>
          <w:rFonts w:ascii="Times New Roman" w:eastAsia="仿宋" w:hAnsi="Times New Roman" w:cs="Times New Roman"/>
          <w:snapToGrid w:val="0"/>
          <w:kern w:val="0"/>
          <w:sz w:val="32"/>
          <w:szCs w:val="32"/>
        </w:rPr>
        <w:t>1.</w:t>
      </w:r>
      <w:r>
        <w:rPr>
          <w:rFonts w:ascii="Times New Roman" w:eastAsia="仿宋" w:hAnsi="Times New Roman" w:cs="Times New Roman"/>
          <w:snapToGrid w:val="0"/>
          <w:color w:val="000000"/>
          <w:kern w:val="0"/>
          <w:sz w:val="32"/>
          <w:szCs w:val="32"/>
        </w:rPr>
        <w:t xml:space="preserve"> </w:t>
      </w:r>
      <w:r>
        <w:rPr>
          <w:rFonts w:ascii="Times New Roman" w:eastAsia="仿宋" w:hAnsi="Times New Roman" w:cs="Times New Roman"/>
          <w:snapToGrid w:val="0"/>
          <w:color w:val="000000"/>
          <w:kern w:val="0"/>
          <w:sz w:val="32"/>
          <w:szCs w:val="32"/>
        </w:rPr>
        <w:t>国有土地使用权出让收入完成</w:t>
      </w:r>
      <w:r w:rsidR="00F362FD">
        <w:rPr>
          <w:rFonts w:ascii="Times New Roman" w:eastAsia="仿宋" w:hAnsi="Times New Roman" w:cs="Times New Roman" w:hint="eastAsia"/>
          <w:snapToGrid w:val="0"/>
          <w:color w:val="000000"/>
          <w:kern w:val="0"/>
          <w:sz w:val="32"/>
          <w:szCs w:val="32"/>
        </w:rPr>
        <w:t>10721</w:t>
      </w:r>
      <w:r>
        <w:rPr>
          <w:rFonts w:ascii="Times New Roman" w:eastAsia="仿宋" w:hAnsi="Times New Roman" w:cs="Times New Roman"/>
          <w:snapToGrid w:val="0"/>
          <w:color w:val="000000"/>
          <w:kern w:val="0"/>
          <w:sz w:val="32"/>
          <w:szCs w:val="32"/>
        </w:rPr>
        <w:t>万元，占调整预算的</w:t>
      </w:r>
      <w:r>
        <w:rPr>
          <w:rFonts w:ascii="Times New Roman" w:eastAsia="仿宋" w:hAnsi="Times New Roman" w:cs="Times New Roman"/>
          <w:snapToGrid w:val="0"/>
          <w:color w:val="000000"/>
          <w:kern w:val="0"/>
          <w:sz w:val="32"/>
          <w:szCs w:val="32"/>
        </w:rPr>
        <w:t>100%</w:t>
      </w:r>
      <w:r>
        <w:rPr>
          <w:rFonts w:ascii="Times New Roman" w:eastAsia="仿宋" w:hAnsi="Times New Roman" w:cs="Times New Roman"/>
          <w:snapToGrid w:val="0"/>
          <w:color w:val="000000"/>
          <w:kern w:val="0"/>
          <w:sz w:val="32"/>
          <w:szCs w:val="32"/>
        </w:rPr>
        <w:t>，较上年</w:t>
      </w:r>
      <w:r w:rsidR="00F362FD">
        <w:rPr>
          <w:rFonts w:ascii="Times New Roman" w:eastAsia="仿宋" w:hAnsi="Times New Roman" w:cs="Times New Roman" w:hint="eastAsia"/>
          <w:snapToGrid w:val="0"/>
          <w:color w:val="000000"/>
          <w:kern w:val="0"/>
          <w:sz w:val="32"/>
          <w:szCs w:val="32"/>
        </w:rPr>
        <w:t>增</w:t>
      </w:r>
      <w:r>
        <w:rPr>
          <w:rFonts w:ascii="Times New Roman" w:eastAsia="仿宋" w:hAnsi="Times New Roman" w:cs="Times New Roman"/>
          <w:snapToGrid w:val="0"/>
          <w:color w:val="000000"/>
          <w:kern w:val="0"/>
          <w:sz w:val="32"/>
          <w:szCs w:val="32"/>
        </w:rPr>
        <w:t>收</w:t>
      </w:r>
      <w:r w:rsidR="00F362FD">
        <w:rPr>
          <w:rFonts w:ascii="Times New Roman" w:eastAsia="仿宋" w:hAnsi="Times New Roman" w:cs="Times New Roman" w:hint="eastAsia"/>
          <w:snapToGrid w:val="0"/>
          <w:color w:val="000000"/>
          <w:kern w:val="0"/>
          <w:sz w:val="32"/>
          <w:szCs w:val="32"/>
        </w:rPr>
        <w:t>2239</w:t>
      </w:r>
      <w:r>
        <w:rPr>
          <w:rFonts w:ascii="Times New Roman" w:eastAsia="仿宋" w:hAnsi="Times New Roman" w:cs="Times New Roman"/>
          <w:snapToGrid w:val="0"/>
          <w:color w:val="000000"/>
          <w:kern w:val="0"/>
          <w:sz w:val="32"/>
          <w:szCs w:val="32"/>
        </w:rPr>
        <w:t>万元，</w:t>
      </w:r>
      <w:r w:rsidR="00F362FD">
        <w:rPr>
          <w:rFonts w:ascii="Times New Roman" w:eastAsia="仿宋" w:hAnsi="Times New Roman" w:cs="Times New Roman" w:hint="eastAsia"/>
          <w:snapToGrid w:val="0"/>
          <w:color w:val="000000"/>
          <w:kern w:val="0"/>
          <w:sz w:val="32"/>
          <w:szCs w:val="32"/>
        </w:rPr>
        <w:t>增长</w:t>
      </w:r>
      <w:r w:rsidR="00F362FD">
        <w:rPr>
          <w:rFonts w:ascii="Times New Roman" w:eastAsia="仿宋" w:hAnsi="Times New Roman" w:cs="Times New Roman" w:hint="eastAsia"/>
          <w:snapToGrid w:val="0"/>
          <w:color w:val="000000"/>
          <w:kern w:val="0"/>
          <w:sz w:val="32"/>
          <w:szCs w:val="32"/>
        </w:rPr>
        <w:t>26.4</w:t>
      </w:r>
      <w:r>
        <w:rPr>
          <w:rFonts w:ascii="Times New Roman" w:eastAsia="仿宋" w:hAnsi="Times New Roman" w:cs="Times New Roman"/>
          <w:snapToGrid w:val="0"/>
          <w:color w:val="000000"/>
          <w:kern w:val="0"/>
          <w:sz w:val="32"/>
          <w:szCs w:val="32"/>
        </w:rPr>
        <w:t>%</w:t>
      </w:r>
      <w:r>
        <w:rPr>
          <w:rFonts w:ascii="Times New Roman" w:eastAsia="仿宋" w:hAnsi="Times New Roman" w:cs="Times New Roman"/>
          <w:snapToGrid w:val="0"/>
          <w:color w:val="000000"/>
          <w:kern w:val="0"/>
          <w:sz w:val="32"/>
          <w:szCs w:val="32"/>
        </w:rPr>
        <w:t>；</w:t>
      </w:r>
    </w:p>
    <w:p w:rsidR="00A45F02" w:rsidRDefault="00695B75" w:rsidP="00B40301">
      <w:pPr>
        <w:spacing w:line="560" w:lineRule="exact"/>
        <w:ind w:firstLineChars="200" w:firstLine="640"/>
        <w:rPr>
          <w:rFonts w:ascii="Times New Roman" w:eastAsia="仿宋" w:hAnsi="Times New Roman" w:cs="Times New Roman"/>
          <w:snapToGrid w:val="0"/>
          <w:kern w:val="0"/>
          <w:sz w:val="32"/>
          <w:szCs w:val="32"/>
        </w:rPr>
      </w:pPr>
      <w:r>
        <w:rPr>
          <w:rFonts w:ascii="Times New Roman" w:eastAsia="仿宋" w:hAnsi="Times New Roman" w:cs="Times New Roman"/>
          <w:snapToGrid w:val="0"/>
          <w:kern w:val="0"/>
          <w:sz w:val="32"/>
          <w:szCs w:val="32"/>
        </w:rPr>
        <w:t>2.</w:t>
      </w:r>
      <w:r>
        <w:rPr>
          <w:rFonts w:ascii="Times New Roman" w:eastAsia="仿宋" w:hAnsi="Times New Roman" w:cs="Times New Roman"/>
          <w:snapToGrid w:val="0"/>
          <w:color w:val="000000"/>
          <w:kern w:val="0"/>
          <w:sz w:val="32"/>
          <w:szCs w:val="32"/>
        </w:rPr>
        <w:t xml:space="preserve"> </w:t>
      </w:r>
      <w:r>
        <w:rPr>
          <w:rFonts w:ascii="Times New Roman" w:eastAsia="仿宋" w:hAnsi="Times New Roman" w:cs="Times New Roman"/>
          <w:snapToGrid w:val="0"/>
          <w:color w:val="000000"/>
          <w:kern w:val="0"/>
          <w:sz w:val="32"/>
          <w:szCs w:val="32"/>
        </w:rPr>
        <w:t>城市基础设施配套费收入完成</w:t>
      </w:r>
      <w:r w:rsidR="00F362FD">
        <w:rPr>
          <w:rFonts w:ascii="Times New Roman" w:eastAsia="仿宋" w:hAnsi="Times New Roman" w:cs="Times New Roman" w:hint="eastAsia"/>
          <w:snapToGrid w:val="0"/>
          <w:color w:val="000000"/>
          <w:kern w:val="0"/>
          <w:sz w:val="32"/>
          <w:szCs w:val="32"/>
        </w:rPr>
        <w:t>718</w:t>
      </w:r>
      <w:r>
        <w:rPr>
          <w:rFonts w:ascii="Times New Roman" w:eastAsia="仿宋" w:hAnsi="Times New Roman" w:cs="Times New Roman"/>
          <w:snapToGrid w:val="0"/>
          <w:color w:val="000000"/>
          <w:kern w:val="0"/>
          <w:sz w:val="32"/>
          <w:szCs w:val="32"/>
        </w:rPr>
        <w:t>万元，占调整预算的</w:t>
      </w:r>
      <w:r>
        <w:rPr>
          <w:rFonts w:ascii="Times New Roman" w:eastAsia="仿宋" w:hAnsi="Times New Roman" w:cs="Times New Roman"/>
          <w:snapToGrid w:val="0"/>
          <w:color w:val="000000"/>
          <w:kern w:val="0"/>
          <w:sz w:val="32"/>
          <w:szCs w:val="32"/>
        </w:rPr>
        <w:t>100%</w:t>
      </w:r>
      <w:r>
        <w:rPr>
          <w:rFonts w:ascii="Times New Roman" w:eastAsia="仿宋" w:hAnsi="Times New Roman" w:cs="Times New Roman"/>
          <w:snapToGrid w:val="0"/>
          <w:color w:val="000000"/>
          <w:kern w:val="0"/>
          <w:sz w:val="32"/>
          <w:szCs w:val="32"/>
        </w:rPr>
        <w:t>，较上年</w:t>
      </w:r>
      <w:r w:rsidR="00F362FD">
        <w:rPr>
          <w:rFonts w:ascii="Times New Roman" w:eastAsia="仿宋" w:hAnsi="Times New Roman" w:cs="Times New Roman" w:hint="eastAsia"/>
          <w:snapToGrid w:val="0"/>
          <w:color w:val="000000"/>
          <w:kern w:val="0"/>
          <w:sz w:val="32"/>
          <w:szCs w:val="32"/>
        </w:rPr>
        <w:t>增</w:t>
      </w:r>
      <w:r>
        <w:rPr>
          <w:rFonts w:ascii="Times New Roman" w:eastAsia="仿宋" w:hAnsi="Times New Roman" w:cs="Times New Roman"/>
          <w:snapToGrid w:val="0"/>
          <w:color w:val="000000"/>
          <w:kern w:val="0"/>
          <w:sz w:val="32"/>
          <w:szCs w:val="32"/>
        </w:rPr>
        <w:t>收</w:t>
      </w:r>
      <w:r w:rsidR="00F362FD">
        <w:rPr>
          <w:rFonts w:ascii="Times New Roman" w:eastAsia="仿宋" w:hAnsi="Times New Roman" w:cs="Times New Roman" w:hint="eastAsia"/>
          <w:snapToGrid w:val="0"/>
          <w:color w:val="000000"/>
          <w:kern w:val="0"/>
          <w:sz w:val="32"/>
          <w:szCs w:val="32"/>
        </w:rPr>
        <w:t>79</w:t>
      </w:r>
      <w:r>
        <w:rPr>
          <w:rFonts w:ascii="Times New Roman" w:eastAsia="仿宋" w:hAnsi="Times New Roman" w:cs="Times New Roman"/>
          <w:snapToGrid w:val="0"/>
          <w:color w:val="000000"/>
          <w:kern w:val="0"/>
          <w:sz w:val="32"/>
          <w:szCs w:val="32"/>
        </w:rPr>
        <w:t>万元，</w:t>
      </w:r>
      <w:r w:rsidR="00F362FD">
        <w:rPr>
          <w:rFonts w:ascii="Times New Roman" w:eastAsia="仿宋" w:hAnsi="Times New Roman" w:cs="Times New Roman" w:hint="eastAsia"/>
          <w:snapToGrid w:val="0"/>
          <w:color w:val="000000"/>
          <w:kern w:val="0"/>
          <w:sz w:val="32"/>
          <w:szCs w:val="32"/>
        </w:rPr>
        <w:t>增长</w:t>
      </w:r>
      <w:r w:rsidR="00F362FD">
        <w:rPr>
          <w:rFonts w:ascii="Times New Roman" w:eastAsia="仿宋" w:hAnsi="Times New Roman" w:cs="Times New Roman" w:hint="eastAsia"/>
          <w:snapToGrid w:val="0"/>
          <w:color w:val="000000"/>
          <w:kern w:val="0"/>
          <w:sz w:val="32"/>
          <w:szCs w:val="32"/>
        </w:rPr>
        <w:t>12.4</w:t>
      </w:r>
      <w:r>
        <w:rPr>
          <w:rFonts w:ascii="Times New Roman" w:eastAsia="仿宋" w:hAnsi="Times New Roman" w:cs="Times New Roman"/>
          <w:snapToGrid w:val="0"/>
          <w:color w:val="000000"/>
          <w:kern w:val="0"/>
          <w:sz w:val="32"/>
          <w:szCs w:val="32"/>
        </w:rPr>
        <w:t>%</w:t>
      </w:r>
      <w:r>
        <w:rPr>
          <w:rFonts w:ascii="Times New Roman" w:eastAsia="仿宋" w:hAnsi="Times New Roman" w:cs="Times New Roman"/>
          <w:snapToGrid w:val="0"/>
          <w:kern w:val="0"/>
          <w:sz w:val="32"/>
          <w:szCs w:val="32"/>
        </w:rPr>
        <w:t>；</w:t>
      </w:r>
    </w:p>
    <w:p w:rsidR="00A45F02" w:rsidRDefault="00695B75" w:rsidP="00B40301">
      <w:pPr>
        <w:spacing w:line="560" w:lineRule="exact"/>
        <w:ind w:firstLineChars="200" w:firstLine="640"/>
        <w:rPr>
          <w:rFonts w:ascii="Times New Roman" w:eastAsia="仿宋" w:hAnsi="Times New Roman" w:cs="Times New Roman"/>
          <w:snapToGrid w:val="0"/>
          <w:kern w:val="0"/>
          <w:sz w:val="32"/>
          <w:szCs w:val="32"/>
        </w:rPr>
      </w:pPr>
      <w:r>
        <w:rPr>
          <w:rFonts w:ascii="Times New Roman" w:eastAsia="仿宋" w:hAnsi="Times New Roman" w:cs="Times New Roman"/>
          <w:snapToGrid w:val="0"/>
          <w:kern w:val="0"/>
          <w:sz w:val="32"/>
          <w:szCs w:val="32"/>
        </w:rPr>
        <w:t>3.</w:t>
      </w:r>
      <w:r>
        <w:rPr>
          <w:rFonts w:ascii="Times New Roman" w:eastAsia="仿宋" w:hAnsi="Times New Roman" w:cs="Times New Roman"/>
          <w:snapToGrid w:val="0"/>
          <w:color w:val="000000"/>
          <w:kern w:val="0"/>
          <w:sz w:val="32"/>
          <w:szCs w:val="32"/>
        </w:rPr>
        <w:t xml:space="preserve"> </w:t>
      </w:r>
      <w:r>
        <w:rPr>
          <w:rFonts w:ascii="Times New Roman" w:eastAsia="仿宋" w:hAnsi="Times New Roman" w:cs="Times New Roman"/>
          <w:snapToGrid w:val="0"/>
          <w:color w:val="000000"/>
          <w:kern w:val="0"/>
          <w:sz w:val="32"/>
          <w:szCs w:val="32"/>
        </w:rPr>
        <w:t>污水处理费收入完成</w:t>
      </w:r>
      <w:r w:rsidR="00F362FD">
        <w:rPr>
          <w:rFonts w:ascii="Times New Roman" w:eastAsia="仿宋" w:hAnsi="Times New Roman" w:cs="Times New Roman" w:hint="eastAsia"/>
          <w:snapToGrid w:val="0"/>
          <w:color w:val="000000"/>
          <w:kern w:val="0"/>
          <w:sz w:val="32"/>
          <w:szCs w:val="32"/>
        </w:rPr>
        <w:t>125</w:t>
      </w:r>
      <w:r>
        <w:rPr>
          <w:rFonts w:ascii="Times New Roman" w:eastAsia="仿宋" w:hAnsi="Times New Roman" w:cs="Times New Roman"/>
          <w:snapToGrid w:val="0"/>
          <w:color w:val="000000"/>
          <w:kern w:val="0"/>
          <w:sz w:val="32"/>
          <w:szCs w:val="32"/>
        </w:rPr>
        <w:t>万元，占调整预算的</w:t>
      </w:r>
      <w:r>
        <w:rPr>
          <w:rFonts w:ascii="Times New Roman" w:eastAsia="仿宋" w:hAnsi="Times New Roman" w:cs="Times New Roman"/>
          <w:snapToGrid w:val="0"/>
          <w:color w:val="000000"/>
          <w:kern w:val="0"/>
          <w:sz w:val="32"/>
          <w:szCs w:val="32"/>
        </w:rPr>
        <w:t>100%</w:t>
      </w:r>
      <w:r>
        <w:rPr>
          <w:rFonts w:ascii="Times New Roman" w:eastAsia="仿宋" w:hAnsi="Times New Roman" w:cs="Times New Roman"/>
          <w:snapToGrid w:val="0"/>
          <w:color w:val="000000"/>
          <w:kern w:val="0"/>
          <w:sz w:val="32"/>
          <w:szCs w:val="32"/>
        </w:rPr>
        <w:t>，较上年</w:t>
      </w:r>
      <w:r w:rsidR="00F362FD">
        <w:rPr>
          <w:rFonts w:ascii="Times New Roman" w:eastAsia="仿宋" w:hAnsi="Times New Roman" w:cs="Times New Roman" w:hint="eastAsia"/>
          <w:snapToGrid w:val="0"/>
          <w:color w:val="000000"/>
          <w:kern w:val="0"/>
          <w:sz w:val="32"/>
          <w:szCs w:val="32"/>
        </w:rPr>
        <w:t>增</w:t>
      </w:r>
      <w:r>
        <w:rPr>
          <w:rFonts w:ascii="Times New Roman" w:eastAsia="仿宋" w:hAnsi="Times New Roman" w:cs="Times New Roman"/>
          <w:snapToGrid w:val="0"/>
          <w:color w:val="000000"/>
          <w:kern w:val="0"/>
          <w:sz w:val="32"/>
          <w:szCs w:val="32"/>
        </w:rPr>
        <w:t>收</w:t>
      </w:r>
      <w:r w:rsidR="00F362FD">
        <w:rPr>
          <w:rFonts w:ascii="Times New Roman" w:eastAsia="仿宋" w:hAnsi="Times New Roman" w:cs="Times New Roman" w:hint="eastAsia"/>
          <w:snapToGrid w:val="0"/>
          <w:color w:val="000000"/>
          <w:kern w:val="0"/>
          <w:sz w:val="32"/>
          <w:szCs w:val="32"/>
        </w:rPr>
        <w:t>9</w:t>
      </w:r>
      <w:r>
        <w:rPr>
          <w:rFonts w:ascii="Times New Roman" w:eastAsia="仿宋" w:hAnsi="Times New Roman" w:cs="Times New Roman"/>
          <w:snapToGrid w:val="0"/>
          <w:color w:val="000000"/>
          <w:kern w:val="0"/>
          <w:sz w:val="32"/>
          <w:szCs w:val="32"/>
        </w:rPr>
        <w:t>万元，</w:t>
      </w:r>
      <w:r w:rsidR="00F362FD">
        <w:rPr>
          <w:rFonts w:ascii="Times New Roman" w:eastAsia="仿宋" w:hAnsi="Times New Roman" w:cs="Times New Roman" w:hint="eastAsia"/>
          <w:snapToGrid w:val="0"/>
          <w:color w:val="000000"/>
          <w:kern w:val="0"/>
          <w:sz w:val="32"/>
          <w:szCs w:val="32"/>
        </w:rPr>
        <w:t>增长</w:t>
      </w:r>
      <w:r w:rsidR="00F362FD">
        <w:rPr>
          <w:rFonts w:ascii="Times New Roman" w:eastAsia="仿宋" w:hAnsi="Times New Roman" w:cs="Times New Roman" w:hint="eastAsia"/>
          <w:snapToGrid w:val="0"/>
          <w:color w:val="000000"/>
          <w:kern w:val="0"/>
          <w:sz w:val="32"/>
          <w:szCs w:val="32"/>
        </w:rPr>
        <w:t>7.8</w:t>
      </w:r>
      <w:r>
        <w:rPr>
          <w:rFonts w:ascii="Times New Roman" w:eastAsia="仿宋" w:hAnsi="Times New Roman" w:cs="Times New Roman"/>
          <w:snapToGrid w:val="0"/>
          <w:color w:val="000000"/>
          <w:kern w:val="0"/>
          <w:sz w:val="32"/>
          <w:szCs w:val="32"/>
        </w:rPr>
        <w:t>%</w:t>
      </w:r>
      <w:r>
        <w:rPr>
          <w:rFonts w:ascii="Times New Roman" w:eastAsia="仿宋" w:hAnsi="Times New Roman" w:cs="Times New Roman"/>
          <w:snapToGrid w:val="0"/>
          <w:kern w:val="0"/>
          <w:sz w:val="32"/>
          <w:szCs w:val="32"/>
        </w:rPr>
        <w:t>。</w:t>
      </w:r>
    </w:p>
    <w:p w:rsidR="00A45F02" w:rsidRDefault="00695B75" w:rsidP="00B40301">
      <w:pPr>
        <w:pStyle w:val="a3"/>
        <w:adjustRightInd w:val="0"/>
        <w:snapToGrid w:val="0"/>
        <w:spacing w:line="560" w:lineRule="exact"/>
        <w:ind w:firstLine="640"/>
        <w:rPr>
          <w:rFonts w:ascii="Times New Roman" w:eastAsia="仿宋" w:hAnsi="Times New Roman" w:cs="Times New Roman"/>
          <w:snapToGrid w:val="0"/>
          <w:sz w:val="32"/>
          <w:szCs w:val="32"/>
        </w:rPr>
      </w:pPr>
      <w:r>
        <w:rPr>
          <w:rFonts w:ascii="Times New Roman" w:eastAsia="仿宋" w:hAnsi="Times New Roman" w:cs="Times New Roman"/>
          <w:snapToGrid w:val="0"/>
          <w:sz w:val="32"/>
          <w:szCs w:val="32"/>
        </w:rPr>
        <w:t>加上上级补助收入</w:t>
      </w:r>
      <w:r w:rsidR="00F362FD">
        <w:rPr>
          <w:rFonts w:ascii="Times New Roman" w:eastAsia="仿宋" w:hAnsi="Times New Roman" w:cs="Times New Roman" w:hint="eastAsia"/>
          <w:snapToGrid w:val="0"/>
          <w:sz w:val="32"/>
          <w:szCs w:val="32"/>
        </w:rPr>
        <w:t>742</w:t>
      </w:r>
      <w:r>
        <w:rPr>
          <w:rFonts w:ascii="Times New Roman" w:eastAsia="仿宋" w:hAnsi="Times New Roman" w:cs="Times New Roman"/>
          <w:snapToGrid w:val="0"/>
          <w:sz w:val="32"/>
          <w:szCs w:val="32"/>
        </w:rPr>
        <w:t>万元、专项债务</w:t>
      </w:r>
      <w:r w:rsidR="00F362FD">
        <w:rPr>
          <w:rFonts w:ascii="Times New Roman" w:eastAsia="仿宋" w:hAnsi="Times New Roman" w:cs="Times New Roman"/>
          <w:snapToGrid w:val="0"/>
          <w:sz w:val="32"/>
          <w:szCs w:val="32"/>
        </w:rPr>
        <w:t>转贷</w:t>
      </w:r>
      <w:r>
        <w:rPr>
          <w:rFonts w:ascii="Times New Roman" w:eastAsia="仿宋" w:hAnsi="Times New Roman" w:cs="Times New Roman"/>
          <w:snapToGrid w:val="0"/>
          <w:sz w:val="32"/>
          <w:szCs w:val="32"/>
        </w:rPr>
        <w:t>收入</w:t>
      </w:r>
      <w:r w:rsidR="00F362FD">
        <w:rPr>
          <w:rFonts w:ascii="Times New Roman" w:eastAsia="仿宋" w:hAnsi="Times New Roman" w:cs="Times New Roman" w:hint="eastAsia"/>
          <w:snapToGrid w:val="0"/>
          <w:sz w:val="32"/>
          <w:szCs w:val="32"/>
        </w:rPr>
        <w:t>56600</w:t>
      </w:r>
      <w:r>
        <w:rPr>
          <w:rFonts w:ascii="Times New Roman" w:eastAsia="仿宋" w:hAnsi="Times New Roman" w:cs="Times New Roman"/>
          <w:snapToGrid w:val="0"/>
          <w:sz w:val="32"/>
          <w:szCs w:val="32"/>
        </w:rPr>
        <w:t>万元、动用上年结余</w:t>
      </w:r>
      <w:r w:rsidR="00F362FD">
        <w:rPr>
          <w:rFonts w:ascii="Times New Roman" w:eastAsia="仿宋" w:hAnsi="Times New Roman" w:cs="Times New Roman" w:hint="eastAsia"/>
          <w:snapToGrid w:val="0"/>
          <w:sz w:val="32"/>
          <w:szCs w:val="32"/>
        </w:rPr>
        <w:t>632</w:t>
      </w:r>
      <w:r>
        <w:rPr>
          <w:rFonts w:ascii="Times New Roman" w:eastAsia="仿宋" w:hAnsi="Times New Roman" w:cs="Times New Roman"/>
          <w:snapToGrid w:val="0"/>
          <w:sz w:val="32"/>
          <w:szCs w:val="32"/>
        </w:rPr>
        <w:t>万元，全县政府性基金收入总量为</w:t>
      </w:r>
      <w:r w:rsidR="00F362FD">
        <w:rPr>
          <w:rFonts w:ascii="Times New Roman" w:eastAsia="仿宋" w:hAnsi="Times New Roman" w:cs="Times New Roman" w:hint="eastAsia"/>
          <w:snapToGrid w:val="0"/>
          <w:sz w:val="32"/>
          <w:szCs w:val="32"/>
        </w:rPr>
        <w:t>69571</w:t>
      </w:r>
      <w:r>
        <w:rPr>
          <w:rFonts w:ascii="Times New Roman" w:eastAsia="仿宋" w:hAnsi="Times New Roman" w:cs="Times New Roman"/>
          <w:snapToGrid w:val="0"/>
          <w:sz w:val="32"/>
          <w:szCs w:val="32"/>
        </w:rPr>
        <w:t>万元。</w:t>
      </w:r>
    </w:p>
    <w:p w:rsidR="00A45F02" w:rsidRDefault="00695B75" w:rsidP="00B40301">
      <w:pPr>
        <w:pStyle w:val="a3"/>
        <w:adjustRightInd w:val="0"/>
        <w:snapToGrid w:val="0"/>
        <w:spacing w:line="560" w:lineRule="exact"/>
        <w:ind w:firstLine="640"/>
        <w:rPr>
          <w:rFonts w:ascii="Times New Roman" w:eastAsia="黑体" w:hAnsi="Times New Roman" w:cs="Times New Roman"/>
          <w:sz w:val="32"/>
          <w:szCs w:val="32"/>
        </w:rPr>
      </w:pPr>
      <w:r>
        <w:rPr>
          <w:rFonts w:ascii="Times New Roman" w:eastAsia="黑体" w:hAnsi="黑体" w:cs="Times New Roman"/>
          <w:sz w:val="32"/>
          <w:szCs w:val="32"/>
        </w:rPr>
        <w:t>二、相关政策说明</w:t>
      </w:r>
    </w:p>
    <w:p w:rsidR="00A45F02" w:rsidRDefault="00695B75" w:rsidP="00B40301">
      <w:pPr>
        <w:pStyle w:val="a3"/>
        <w:adjustRightInd w:val="0"/>
        <w:snapToGrid w:val="0"/>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hint="eastAsia"/>
          <w:sz w:val="32"/>
          <w:szCs w:val="32"/>
        </w:rPr>
        <w:t>1.新增建设用地土地有偿使用费。</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年，财政部会同国土资源部、中国人民银行印发了《关于调整新增建设用地土地有偿使用费政策等问题的通知》（财综〔</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号）。新增建设用地土地有偿使用费是国务院或省级人民政府在批准农用地转用、征用土地时，向取得出让等有偿使用方式的新增建设用地</w:t>
      </w:r>
      <w:r>
        <w:rPr>
          <w:rFonts w:ascii="Times New Roman" w:eastAsia="仿宋_GB2312" w:hAnsi="Times New Roman" w:cs="Times New Roman"/>
          <w:sz w:val="32"/>
          <w:szCs w:val="32"/>
        </w:rPr>
        <w:lastRenderedPageBreak/>
        <w:t>的县、市人民政府收取的费用。该基金收入</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上缴中央财政，</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上缴省级财政，专项用于基本农田建设和保护、土地整理和耕地开发等支出。根据财政部通知，从</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年起从政府性基金转列一般公共预算。</w:t>
      </w:r>
    </w:p>
    <w:p w:rsidR="00A45F02" w:rsidRDefault="00695B75" w:rsidP="00B40301">
      <w:pPr>
        <w:pStyle w:val="a3"/>
        <w:adjustRightInd w:val="0"/>
        <w:snapToGrid w:val="0"/>
        <w:spacing w:line="560" w:lineRule="exact"/>
        <w:ind w:firstLine="640"/>
        <w:rPr>
          <w:rFonts w:ascii="Times New Roman" w:eastAsia="仿宋_GB2312" w:hAnsi="Times New Roman" w:cs="Times New Roman"/>
          <w:sz w:val="32"/>
          <w:szCs w:val="32"/>
        </w:rPr>
      </w:pPr>
      <w:r>
        <w:rPr>
          <w:rFonts w:ascii="楷体_GB2312" w:eastAsia="楷体_GB2312" w:hAnsi="Times New Roman" w:cs="Times New Roman"/>
          <w:sz w:val="32"/>
          <w:szCs w:val="32"/>
        </w:rPr>
        <w:t>2.国有土地使用权出让收入。</w:t>
      </w:r>
      <w:r>
        <w:rPr>
          <w:rFonts w:ascii="Times New Roman" w:eastAsia="仿宋_GB2312" w:hAnsi="Times New Roman" w:cs="Times New Roman"/>
          <w:sz w:val="32"/>
          <w:szCs w:val="32"/>
        </w:rPr>
        <w:t>根据《国务院办公厅关于规范国有土地使用权出让收支管理的通知》（国办发〔</w:t>
      </w:r>
      <w:r>
        <w:rPr>
          <w:rFonts w:ascii="Times New Roman" w:eastAsia="仿宋_GB2312" w:hAnsi="Times New Roman" w:cs="Times New Roman"/>
          <w:sz w:val="32"/>
          <w:szCs w:val="32"/>
        </w:rPr>
        <w:t>2006</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号）、《甘肃省国有土地使用权出让收支管理办法》（甘肃省人民政府令第</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号）等规定，国有土地使用权出让收入是指政府以出让等方式配置国有土地使用权取得的全部土地价款，包括受让人支付的征地和拆迁补偿费用、土地前期开发费用和土地出让收益等。从</w:t>
      </w:r>
      <w:r>
        <w:rPr>
          <w:rFonts w:ascii="Times New Roman" w:eastAsia="仿宋_GB2312" w:hAnsi="Times New Roman" w:cs="Times New Roman"/>
          <w:sz w:val="32"/>
          <w:szCs w:val="32"/>
        </w:rPr>
        <w:t>2007</w:t>
      </w:r>
      <w:r>
        <w:rPr>
          <w:rFonts w:ascii="Times New Roman" w:eastAsia="仿宋_GB2312" w:hAnsi="Times New Roman" w:cs="Times New Roman"/>
          <w:sz w:val="32"/>
          <w:szCs w:val="32"/>
        </w:rPr>
        <w:t>年起，省级财政按照市（州）国有土地使用权出让收入</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的比例分成。市（州）与县（市）分成比例由各地自定。支出范围包括：征地和拆迁补偿支出、土地开发支出、支农支出、城市建设支出以及其他支出等。</w:t>
      </w:r>
    </w:p>
    <w:p w:rsidR="00A45F02" w:rsidRDefault="00695B75" w:rsidP="00B40301">
      <w:pPr>
        <w:pStyle w:val="a3"/>
        <w:adjustRightInd w:val="0"/>
        <w:snapToGrid w:val="0"/>
        <w:spacing w:line="560" w:lineRule="exact"/>
        <w:ind w:firstLine="640"/>
        <w:rPr>
          <w:rFonts w:ascii="Times New Roman" w:hAnsi="Times New Roman" w:cs="Times New Roman"/>
          <w:sz w:val="32"/>
          <w:szCs w:val="32"/>
        </w:rPr>
      </w:pPr>
      <w:r>
        <w:rPr>
          <w:rFonts w:ascii="楷体_GB2312" w:eastAsia="楷体_GB2312" w:hAnsi="Times New Roman" w:cs="Times New Roman"/>
          <w:sz w:val="32"/>
          <w:szCs w:val="32"/>
        </w:rPr>
        <w:t>3.彩票公益金。</w:t>
      </w:r>
      <w:r>
        <w:rPr>
          <w:rFonts w:ascii="Times New Roman" w:eastAsia="仿宋_GB2312" w:hAnsi="Times New Roman" w:cs="Times New Roman"/>
          <w:sz w:val="32"/>
          <w:szCs w:val="32"/>
        </w:rPr>
        <w:t>根据《彩票管理条例》、《彩票管理实施细则》以及《财政部关于印发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彩票公益金管理办法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的通知》（财综〔</w:t>
      </w:r>
      <w:r>
        <w:rPr>
          <w:rFonts w:ascii="Times New Roman" w:eastAsia="仿宋_GB2312" w:hAnsi="Times New Roman" w:cs="Times New Roman"/>
          <w:sz w:val="32"/>
          <w:szCs w:val="32"/>
        </w:rPr>
        <w:t>2012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号），彩票公益金是按照规定比例从彩票发行销售收入中提取的，专项用于社会福利、体育等社会公益事业的资金。彩票公益金分配政策是：中央与地方按</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比例分配。彩票公益金使用范围包括：红十字事业、残疾人事业、农村医疗救助、城市医疗救助、教育助学、未成年人校外教育事业、文化、扶贫、法律援助等。</w:t>
      </w:r>
    </w:p>
    <w:sectPr w:rsidR="00A45F02" w:rsidSect="00A45F0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C5" w:rsidRDefault="007D0DC5" w:rsidP="00A45F02">
      <w:r>
        <w:separator/>
      </w:r>
    </w:p>
  </w:endnote>
  <w:endnote w:type="continuationSeparator" w:id="1">
    <w:p w:rsidR="007D0DC5" w:rsidRDefault="007D0DC5" w:rsidP="00A4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02" w:rsidRDefault="00054573">
    <w:pPr>
      <w:pStyle w:val="a6"/>
      <w:wordWrap w:val="0"/>
      <w:jc w:val="right"/>
      <w:rPr>
        <w:rFonts w:ascii="宋体" w:hAnsi="宋体"/>
        <w:sz w:val="28"/>
        <w:szCs w:val="28"/>
      </w:rPr>
    </w:pPr>
    <w:r w:rsidRPr="00054573">
      <w:rPr>
        <w:sz w:val="28"/>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1;mso-wrap-style:none;mso-position-horizontal:outside;mso-position-horizontal-relative:margin" filled="f" stroked="f">
          <v:textbox style="mso-fit-shape-to-text:t" inset="0,0,0,0">
            <w:txbxContent>
              <w:p w:rsidR="00A45F02" w:rsidRDefault="00695B75">
                <w:pPr>
                  <w:pStyle w:val="a6"/>
                  <w:wordWrap w:val="0"/>
                  <w:jc w:val="right"/>
                </w:pPr>
                <w:r>
                  <w:rPr>
                    <w:rFonts w:ascii="宋体" w:hAnsi="宋体" w:hint="eastAsia"/>
                    <w:sz w:val="28"/>
                    <w:szCs w:val="28"/>
                  </w:rPr>
                  <w:t>—</w:t>
                </w:r>
                <w:r w:rsidR="00054573">
                  <w:rPr>
                    <w:rFonts w:ascii="宋体" w:hAnsi="宋体"/>
                    <w:sz w:val="28"/>
                    <w:szCs w:val="28"/>
                  </w:rPr>
                  <w:fldChar w:fldCharType="begin"/>
                </w:r>
                <w:r>
                  <w:rPr>
                    <w:rFonts w:ascii="宋体" w:hAnsi="宋体"/>
                    <w:sz w:val="28"/>
                    <w:szCs w:val="28"/>
                  </w:rPr>
                  <w:instrText xml:space="preserve"> PAGE   \* MERGEFORMAT </w:instrText>
                </w:r>
                <w:r w:rsidR="00054573">
                  <w:rPr>
                    <w:rFonts w:ascii="宋体" w:hAnsi="宋体"/>
                    <w:sz w:val="28"/>
                    <w:szCs w:val="28"/>
                  </w:rPr>
                  <w:fldChar w:fldCharType="separate"/>
                </w:r>
                <w:r w:rsidR="00B40301" w:rsidRPr="00B40301">
                  <w:rPr>
                    <w:rFonts w:ascii="宋体" w:hAnsi="宋体"/>
                    <w:noProof/>
                    <w:sz w:val="28"/>
                    <w:szCs w:val="28"/>
                    <w:lang w:val="zh-CN"/>
                  </w:rPr>
                  <w:t>1</w:t>
                </w:r>
                <w:r w:rsidR="00054573">
                  <w:rPr>
                    <w:rFonts w:ascii="宋体" w:hAnsi="宋体"/>
                    <w:sz w:val="28"/>
                    <w:szCs w:val="28"/>
                  </w:rPr>
                  <w:fldChar w:fldCharType="end"/>
                </w:r>
                <w:r>
                  <w:rPr>
                    <w:rFonts w:ascii="宋体" w:hAnsi="宋体" w:hint="eastAsia"/>
                    <w:sz w:val="28"/>
                    <w:szCs w:val="28"/>
                  </w:rPr>
                  <w:t xml:space="preserve">—  </w:t>
                </w:r>
              </w:p>
            </w:txbxContent>
          </v:textbox>
          <w10:wrap anchorx="margin"/>
        </v:shape>
      </w:pict>
    </w:r>
  </w:p>
  <w:p w:rsidR="00A45F02" w:rsidRDefault="00A45F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C5" w:rsidRDefault="007D0DC5" w:rsidP="00A45F02">
      <w:r>
        <w:separator/>
      </w:r>
    </w:p>
  </w:footnote>
  <w:footnote w:type="continuationSeparator" w:id="1">
    <w:p w:rsidR="007D0DC5" w:rsidRDefault="007D0DC5" w:rsidP="00A45F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179"/>
    <w:rsid w:val="000000A7"/>
    <w:rsid w:val="00000830"/>
    <w:rsid w:val="00001C3A"/>
    <w:rsid w:val="00002AB6"/>
    <w:rsid w:val="00020E3A"/>
    <w:rsid w:val="00021433"/>
    <w:rsid w:val="00024315"/>
    <w:rsid w:val="00025387"/>
    <w:rsid w:val="00027F56"/>
    <w:rsid w:val="000350CF"/>
    <w:rsid w:val="00036A64"/>
    <w:rsid w:val="000417D8"/>
    <w:rsid w:val="00041878"/>
    <w:rsid w:val="000423D8"/>
    <w:rsid w:val="00042BCF"/>
    <w:rsid w:val="000435A4"/>
    <w:rsid w:val="000439ED"/>
    <w:rsid w:val="000513A8"/>
    <w:rsid w:val="00052A5A"/>
    <w:rsid w:val="00052DD9"/>
    <w:rsid w:val="000539B2"/>
    <w:rsid w:val="00054573"/>
    <w:rsid w:val="00056654"/>
    <w:rsid w:val="000567DA"/>
    <w:rsid w:val="00061E25"/>
    <w:rsid w:val="0006415F"/>
    <w:rsid w:val="00067668"/>
    <w:rsid w:val="00070950"/>
    <w:rsid w:val="00072335"/>
    <w:rsid w:val="00074535"/>
    <w:rsid w:val="000755E2"/>
    <w:rsid w:val="0008305F"/>
    <w:rsid w:val="00095843"/>
    <w:rsid w:val="000A0FFA"/>
    <w:rsid w:val="000A49BC"/>
    <w:rsid w:val="000A58F7"/>
    <w:rsid w:val="000B3A33"/>
    <w:rsid w:val="000C0E4A"/>
    <w:rsid w:val="000C23E8"/>
    <w:rsid w:val="000D0A54"/>
    <w:rsid w:val="000D1B9A"/>
    <w:rsid w:val="000D1FEC"/>
    <w:rsid w:val="000D511C"/>
    <w:rsid w:val="000E026E"/>
    <w:rsid w:val="000E16C5"/>
    <w:rsid w:val="000E43D5"/>
    <w:rsid w:val="000E610C"/>
    <w:rsid w:val="000E6F61"/>
    <w:rsid w:val="000E7C67"/>
    <w:rsid w:val="000F7B0D"/>
    <w:rsid w:val="00111488"/>
    <w:rsid w:val="00113526"/>
    <w:rsid w:val="001201A2"/>
    <w:rsid w:val="001321F1"/>
    <w:rsid w:val="00135890"/>
    <w:rsid w:val="001447A7"/>
    <w:rsid w:val="00147A2A"/>
    <w:rsid w:val="001515E5"/>
    <w:rsid w:val="00152419"/>
    <w:rsid w:val="00155205"/>
    <w:rsid w:val="001600EB"/>
    <w:rsid w:val="001603F3"/>
    <w:rsid w:val="001603F9"/>
    <w:rsid w:val="0016695D"/>
    <w:rsid w:val="001728B5"/>
    <w:rsid w:val="0017363F"/>
    <w:rsid w:val="00175279"/>
    <w:rsid w:val="001862A2"/>
    <w:rsid w:val="0019111C"/>
    <w:rsid w:val="0019204E"/>
    <w:rsid w:val="00192E32"/>
    <w:rsid w:val="0019487C"/>
    <w:rsid w:val="00195E6A"/>
    <w:rsid w:val="001A2FAB"/>
    <w:rsid w:val="001B1387"/>
    <w:rsid w:val="001B14ED"/>
    <w:rsid w:val="001B406D"/>
    <w:rsid w:val="001B7B59"/>
    <w:rsid w:val="001C1F46"/>
    <w:rsid w:val="001C2E3C"/>
    <w:rsid w:val="001D2B39"/>
    <w:rsid w:val="001D3179"/>
    <w:rsid w:val="001D5BE5"/>
    <w:rsid w:val="001E04FF"/>
    <w:rsid w:val="001E4FAD"/>
    <w:rsid w:val="001E6FAB"/>
    <w:rsid w:val="001F22D0"/>
    <w:rsid w:val="001F6640"/>
    <w:rsid w:val="00204928"/>
    <w:rsid w:val="0020597D"/>
    <w:rsid w:val="00205D57"/>
    <w:rsid w:val="00206004"/>
    <w:rsid w:val="00207AB1"/>
    <w:rsid w:val="00210496"/>
    <w:rsid w:val="002320DD"/>
    <w:rsid w:val="002373F2"/>
    <w:rsid w:val="00240CEB"/>
    <w:rsid w:val="00244557"/>
    <w:rsid w:val="00245379"/>
    <w:rsid w:val="002507AE"/>
    <w:rsid w:val="002536B1"/>
    <w:rsid w:val="0026064B"/>
    <w:rsid w:val="00261D29"/>
    <w:rsid w:val="00262607"/>
    <w:rsid w:val="002650EE"/>
    <w:rsid w:val="00266307"/>
    <w:rsid w:val="00271389"/>
    <w:rsid w:val="002863F7"/>
    <w:rsid w:val="00292C78"/>
    <w:rsid w:val="002A3466"/>
    <w:rsid w:val="002B200C"/>
    <w:rsid w:val="002B2DC2"/>
    <w:rsid w:val="002B3824"/>
    <w:rsid w:val="002B5C39"/>
    <w:rsid w:val="002C4B4E"/>
    <w:rsid w:val="002C5DC0"/>
    <w:rsid w:val="002E08EC"/>
    <w:rsid w:val="002E52B0"/>
    <w:rsid w:val="002E5942"/>
    <w:rsid w:val="002E6FC9"/>
    <w:rsid w:val="002F04B5"/>
    <w:rsid w:val="002F6689"/>
    <w:rsid w:val="0030779C"/>
    <w:rsid w:val="00313452"/>
    <w:rsid w:val="00322D65"/>
    <w:rsid w:val="00334C70"/>
    <w:rsid w:val="00336C32"/>
    <w:rsid w:val="00340BF5"/>
    <w:rsid w:val="00343D55"/>
    <w:rsid w:val="0035194C"/>
    <w:rsid w:val="00354A87"/>
    <w:rsid w:val="00357A1E"/>
    <w:rsid w:val="0036120F"/>
    <w:rsid w:val="00362197"/>
    <w:rsid w:val="00366643"/>
    <w:rsid w:val="00366F40"/>
    <w:rsid w:val="003769E2"/>
    <w:rsid w:val="003804DB"/>
    <w:rsid w:val="003820FD"/>
    <w:rsid w:val="003835D8"/>
    <w:rsid w:val="003836D6"/>
    <w:rsid w:val="003938E6"/>
    <w:rsid w:val="003A25B4"/>
    <w:rsid w:val="003A5E6D"/>
    <w:rsid w:val="003A6E4D"/>
    <w:rsid w:val="003B7381"/>
    <w:rsid w:val="003C5055"/>
    <w:rsid w:val="003C791C"/>
    <w:rsid w:val="003E0DC1"/>
    <w:rsid w:val="003E310A"/>
    <w:rsid w:val="003E6BBB"/>
    <w:rsid w:val="003E751B"/>
    <w:rsid w:val="003F4F2B"/>
    <w:rsid w:val="003F5DD2"/>
    <w:rsid w:val="00403FCC"/>
    <w:rsid w:val="0040536D"/>
    <w:rsid w:val="0040714C"/>
    <w:rsid w:val="0040750F"/>
    <w:rsid w:val="0041006C"/>
    <w:rsid w:val="004159B7"/>
    <w:rsid w:val="00420916"/>
    <w:rsid w:val="00425BB9"/>
    <w:rsid w:val="00426737"/>
    <w:rsid w:val="004322DF"/>
    <w:rsid w:val="0044040B"/>
    <w:rsid w:val="004465A8"/>
    <w:rsid w:val="00454021"/>
    <w:rsid w:val="004618DD"/>
    <w:rsid w:val="00464B8F"/>
    <w:rsid w:val="004654EA"/>
    <w:rsid w:val="00471617"/>
    <w:rsid w:val="00472E89"/>
    <w:rsid w:val="00473ADD"/>
    <w:rsid w:val="004759F1"/>
    <w:rsid w:val="00476E04"/>
    <w:rsid w:val="0048035E"/>
    <w:rsid w:val="0048358A"/>
    <w:rsid w:val="004949ED"/>
    <w:rsid w:val="00496AAC"/>
    <w:rsid w:val="004A118A"/>
    <w:rsid w:val="004B1026"/>
    <w:rsid w:val="004B5551"/>
    <w:rsid w:val="004B636D"/>
    <w:rsid w:val="004B6B87"/>
    <w:rsid w:val="004B6FB1"/>
    <w:rsid w:val="004C2A1F"/>
    <w:rsid w:val="004C3294"/>
    <w:rsid w:val="004D1577"/>
    <w:rsid w:val="004E4709"/>
    <w:rsid w:val="004E7188"/>
    <w:rsid w:val="005000DE"/>
    <w:rsid w:val="00500BF6"/>
    <w:rsid w:val="005019BE"/>
    <w:rsid w:val="00502995"/>
    <w:rsid w:val="0050480D"/>
    <w:rsid w:val="00506666"/>
    <w:rsid w:val="00510ED5"/>
    <w:rsid w:val="005138F6"/>
    <w:rsid w:val="00514A2A"/>
    <w:rsid w:val="00514E05"/>
    <w:rsid w:val="005165F8"/>
    <w:rsid w:val="00517560"/>
    <w:rsid w:val="00517F1B"/>
    <w:rsid w:val="00520AC5"/>
    <w:rsid w:val="0052194B"/>
    <w:rsid w:val="005231C2"/>
    <w:rsid w:val="00523798"/>
    <w:rsid w:val="005327B8"/>
    <w:rsid w:val="005349BC"/>
    <w:rsid w:val="00534F1F"/>
    <w:rsid w:val="0053534D"/>
    <w:rsid w:val="0053713C"/>
    <w:rsid w:val="005431CB"/>
    <w:rsid w:val="00551757"/>
    <w:rsid w:val="005525A4"/>
    <w:rsid w:val="00571FBD"/>
    <w:rsid w:val="00574B3B"/>
    <w:rsid w:val="00574EEA"/>
    <w:rsid w:val="0058122F"/>
    <w:rsid w:val="0058440A"/>
    <w:rsid w:val="00591A2B"/>
    <w:rsid w:val="005938BC"/>
    <w:rsid w:val="005958A1"/>
    <w:rsid w:val="005A0448"/>
    <w:rsid w:val="005A10DF"/>
    <w:rsid w:val="005A15E4"/>
    <w:rsid w:val="005A35A4"/>
    <w:rsid w:val="005A682E"/>
    <w:rsid w:val="005A6A83"/>
    <w:rsid w:val="005B14A6"/>
    <w:rsid w:val="005B2566"/>
    <w:rsid w:val="005B299B"/>
    <w:rsid w:val="005B5DCB"/>
    <w:rsid w:val="005C0232"/>
    <w:rsid w:val="005C0263"/>
    <w:rsid w:val="005C0AAC"/>
    <w:rsid w:val="005C18D1"/>
    <w:rsid w:val="005C42BC"/>
    <w:rsid w:val="005C5A41"/>
    <w:rsid w:val="005D0DDE"/>
    <w:rsid w:val="005D1AD7"/>
    <w:rsid w:val="005D67F3"/>
    <w:rsid w:val="005E108B"/>
    <w:rsid w:val="005E3DA8"/>
    <w:rsid w:val="005E6D5C"/>
    <w:rsid w:val="005F07A7"/>
    <w:rsid w:val="005F1EBC"/>
    <w:rsid w:val="005F3247"/>
    <w:rsid w:val="005F46EF"/>
    <w:rsid w:val="005F7CC7"/>
    <w:rsid w:val="006012BD"/>
    <w:rsid w:val="0060342D"/>
    <w:rsid w:val="00604673"/>
    <w:rsid w:val="0060523C"/>
    <w:rsid w:val="00610823"/>
    <w:rsid w:val="0061442D"/>
    <w:rsid w:val="00617442"/>
    <w:rsid w:val="006212AD"/>
    <w:rsid w:val="00621718"/>
    <w:rsid w:val="00623BA8"/>
    <w:rsid w:val="00642F50"/>
    <w:rsid w:val="006448AC"/>
    <w:rsid w:val="0064543D"/>
    <w:rsid w:val="006479A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314"/>
    <w:rsid w:val="00690D43"/>
    <w:rsid w:val="00692A81"/>
    <w:rsid w:val="00695B75"/>
    <w:rsid w:val="00696F11"/>
    <w:rsid w:val="006A2681"/>
    <w:rsid w:val="006A7973"/>
    <w:rsid w:val="006B02CB"/>
    <w:rsid w:val="006B15D0"/>
    <w:rsid w:val="006B61B7"/>
    <w:rsid w:val="006B6798"/>
    <w:rsid w:val="006B6807"/>
    <w:rsid w:val="006C09A6"/>
    <w:rsid w:val="006C2B13"/>
    <w:rsid w:val="006C3878"/>
    <w:rsid w:val="006D0778"/>
    <w:rsid w:val="006D0973"/>
    <w:rsid w:val="006D0A13"/>
    <w:rsid w:val="006D4D83"/>
    <w:rsid w:val="006D763F"/>
    <w:rsid w:val="006E4812"/>
    <w:rsid w:val="006E54FB"/>
    <w:rsid w:val="006E61F0"/>
    <w:rsid w:val="006E6CC2"/>
    <w:rsid w:val="006F1B7E"/>
    <w:rsid w:val="006F1DC0"/>
    <w:rsid w:val="006F2AFA"/>
    <w:rsid w:val="006F30B5"/>
    <w:rsid w:val="006F3DB8"/>
    <w:rsid w:val="0070597C"/>
    <w:rsid w:val="00707E1D"/>
    <w:rsid w:val="00711151"/>
    <w:rsid w:val="007170D1"/>
    <w:rsid w:val="007173BF"/>
    <w:rsid w:val="00723AD3"/>
    <w:rsid w:val="0072587E"/>
    <w:rsid w:val="00726D62"/>
    <w:rsid w:val="00727F07"/>
    <w:rsid w:val="00731A37"/>
    <w:rsid w:val="0074133B"/>
    <w:rsid w:val="007445B0"/>
    <w:rsid w:val="007460F4"/>
    <w:rsid w:val="007645C9"/>
    <w:rsid w:val="00765058"/>
    <w:rsid w:val="00766241"/>
    <w:rsid w:val="00772E45"/>
    <w:rsid w:val="00777824"/>
    <w:rsid w:val="00777DB7"/>
    <w:rsid w:val="00780C04"/>
    <w:rsid w:val="00786B04"/>
    <w:rsid w:val="00795EB3"/>
    <w:rsid w:val="007A4F9E"/>
    <w:rsid w:val="007A55E5"/>
    <w:rsid w:val="007B15DD"/>
    <w:rsid w:val="007B3A82"/>
    <w:rsid w:val="007B4289"/>
    <w:rsid w:val="007D0DC5"/>
    <w:rsid w:val="007D4307"/>
    <w:rsid w:val="007D5C03"/>
    <w:rsid w:val="007E3599"/>
    <w:rsid w:val="007E4994"/>
    <w:rsid w:val="007F63BE"/>
    <w:rsid w:val="008057C1"/>
    <w:rsid w:val="00811666"/>
    <w:rsid w:val="00817642"/>
    <w:rsid w:val="00817E50"/>
    <w:rsid w:val="00820265"/>
    <w:rsid w:val="00822A4B"/>
    <w:rsid w:val="008340BB"/>
    <w:rsid w:val="00841B25"/>
    <w:rsid w:val="008469CF"/>
    <w:rsid w:val="00854B0B"/>
    <w:rsid w:val="008621DB"/>
    <w:rsid w:val="00862305"/>
    <w:rsid w:val="00866EB0"/>
    <w:rsid w:val="008714D0"/>
    <w:rsid w:val="008822E4"/>
    <w:rsid w:val="00885CFD"/>
    <w:rsid w:val="008876B5"/>
    <w:rsid w:val="0089148E"/>
    <w:rsid w:val="008A5F89"/>
    <w:rsid w:val="008B1B20"/>
    <w:rsid w:val="008B5E4F"/>
    <w:rsid w:val="008D0D8C"/>
    <w:rsid w:val="008D4BC6"/>
    <w:rsid w:val="008E29DE"/>
    <w:rsid w:val="008E35E7"/>
    <w:rsid w:val="008E5745"/>
    <w:rsid w:val="008E6BA3"/>
    <w:rsid w:val="008F1DF3"/>
    <w:rsid w:val="008F2808"/>
    <w:rsid w:val="008F5D35"/>
    <w:rsid w:val="008F766D"/>
    <w:rsid w:val="009005F0"/>
    <w:rsid w:val="009058CB"/>
    <w:rsid w:val="00906353"/>
    <w:rsid w:val="00910C03"/>
    <w:rsid w:val="009114E1"/>
    <w:rsid w:val="00914BF7"/>
    <w:rsid w:val="00917706"/>
    <w:rsid w:val="00917A19"/>
    <w:rsid w:val="00917DB6"/>
    <w:rsid w:val="00920B5A"/>
    <w:rsid w:val="00937BC1"/>
    <w:rsid w:val="00947466"/>
    <w:rsid w:val="009538C7"/>
    <w:rsid w:val="00956C06"/>
    <w:rsid w:val="00971E64"/>
    <w:rsid w:val="009774C5"/>
    <w:rsid w:val="00981289"/>
    <w:rsid w:val="009839EC"/>
    <w:rsid w:val="00984B88"/>
    <w:rsid w:val="009953D0"/>
    <w:rsid w:val="009A04EA"/>
    <w:rsid w:val="009A1D24"/>
    <w:rsid w:val="009A2061"/>
    <w:rsid w:val="009B1AA6"/>
    <w:rsid w:val="009B2213"/>
    <w:rsid w:val="009B2D8E"/>
    <w:rsid w:val="009C35B3"/>
    <w:rsid w:val="009C71DC"/>
    <w:rsid w:val="009D0D3F"/>
    <w:rsid w:val="009D3F32"/>
    <w:rsid w:val="009D771B"/>
    <w:rsid w:val="009E0685"/>
    <w:rsid w:val="009E572E"/>
    <w:rsid w:val="009F263D"/>
    <w:rsid w:val="00A00190"/>
    <w:rsid w:val="00A016ED"/>
    <w:rsid w:val="00A02710"/>
    <w:rsid w:val="00A03914"/>
    <w:rsid w:val="00A05F4B"/>
    <w:rsid w:val="00A11198"/>
    <w:rsid w:val="00A125B0"/>
    <w:rsid w:val="00A138DF"/>
    <w:rsid w:val="00A15BE2"/>
    <w:rsid w:val="00A15DB6"/>
    <w:rsid w:val="00A17C2D"/>
    <w:rsid w:val="00A21CA7"/>
    <w:rsid w:val="00A221C4"/>
    <w:rsid w:val="00A25B60"/>
    <w:rsid w:val="00A26EB6"/>
    <w:rsid w:val="00A36362"/>
    <w:rsid w:val="00A45F02"/>
    <w:rsid w:val="00A468BF"/>
    <w:rsid w:val="00A5548B"/>
    <w:rsid w:val="00A55724"/>
    <w:rsid w:val="00A5645E"/>
    <w:rsid w:val="00A62B67"/>
    <w:rsid w:val="00A63099"/>
    <w:rsid w:val="00A66E39"/>
    <w:rsid w:val="00A7173E"/>
    <w:rsid w:val="00A73E0D"/>
    <w:rsid w:val="00A74C35"/>
    <w:rsid w:val="00A767BD"/>
    <w:rsid w:val="00A76989"/>
    <w:rsid w:val="00A7711E"/>
    <w:rsid w:val="00A7779F"/>
    <w:rsid w:val="00A8413C"/>
    <w:rsid w:val="00A903AE"/>
    <w:rsid w:val="00A9216D"/>
    <w:rsid w:val="00AB0EBA"/>
    <w:rsid w:val="00AD3564"/>
    <w:rsid w:val="00AE02F5"/>
    <w:rsid w:val="00AE1195"/>
    <w:rsid w:val="00AE1AA0"/>
    <w:rsid w:val="00AE3F26"/>
    <w:rsid w:val="00AE5BE5"/>
    <w:rsid w:val="00AF293A"/>
    <w:rsid w:val="00AF2A66"/>
    <w:rsid w:val="00AF37F8"/>
    <w:rsid w:val="00B00131"/>
    <w:rsid w:val="00B055AD"/>
    <w:rsid w:val="00B10F21"/>
    <w:rsid w:val="00B15A9C"/>
    <w:rsid w:val="00B15DB3"/>
    <w:rsid w:val="00B21EAE"/>
    <w:rsid w:val="00B24A5A"/>
    <w:rsid w:val="00B2587D"/>
    <w:rsid w:val="00B31F71"/>
    <w:rsid w:val="00B40301"/>
    <w:rsid w:val="00B44100"/>
    <w:rsid w:val="00B4623E"/>
    <w:rsid w:val="00B528B2"/>
    <w:rsid w:val="00B55656"/>
    <w:rsid w:val="00B6147F"/>
    <w:rsid w:val="00B6150B"/>
    <w:rsid w:val="00B647FB"/>
    <w:rsid w:val="00B7049B"/>
    <w:rsid w:val="00B74675"/>
    <w:rsid w:val="00B870F7"/>
    <w:rsid w:val="00B9151B"/>
    <w:rsid w:val="00B920EE"/>
    <w:rsid w:val="00B92C37"/>
    <w:rsid w:val="00BA1AA0"/>
    <w:rsid w:val="00BC0D67"/>
    <w:rsid w:val="00BC21B2"/>
    <w:rsid w:val="00BC4567"/>
    <w:rsid w:val="00BC5C99"/>
    <w:rsid w:val="00BC6A99"/>
    <w:rsid w:val="00BD00F8"/>
    <w:rsid w:val="00BD1DAD"/>
    <w:rsid w:val="00BD2155"/>
    <w:rsid w:val="00BD50DB"/>
    <w:rsid w:val="00BD65E4"/>
    <w:rsid w:val="00BD76A5"/>
    <w:rsid w:val="00BE4A50"/>
    <w:rsid w:val="00BF57D8"/>
    <w:rsid w:val="00BF5AAF"/>
    <w:rsid w:val="00C047E9"/>
    <w:rsid w:val="00C06FC8"/>
    <w:rsid w:val="00C12C8C"/>
    <w:rsid w:val="00C20305"/>
    <w:rsid w:val="00C2516E"/>
    <w:rsid w:val="00C25C75"/>
    <w:rsid w:val="00C356F5"/>
    <w:rsid w:val="00C4335C"/>
    <w:rsid w:val="00C47598"/>
    <w:rsid w:val="00C52679"/>
    <w:rsid w:val="00C6171D"/>
    <w:rsid w:val="00C61BE3"/>
    <w:rsid w:val="00C632DF"/>
    <w:rsid w:val="00C667A4"/>
    <w:rsid w:val="00C7042A"/>
    <w:rsid w:val="00C72B8E"/>
    <w:rsid w:val="00C73702"/>
    <w:rsid w:val="00C73AB3"/>
    <w:rsid w:val="00C834F3"/>
    <w:rsid w:val="00C877FA"/>
    <w:rsid w:val="00C914C8"/>
    <w:rsid w:val="00C92F75"/>
    <w:rsid w:val="00CA36EC"/>
    <w:rsid w:val="00CA38A1"/>
    <w:rsid w:val="00CA5273"/>
    <w:rsid w:val="00CA7ADD"/>
    <w:rsid w:val="00CA7BF9"/>
    <w:rsid w:val="00CB00D7"/>
    <w:rsid w:val="00CB07CD"/>
    <w:rsid w:val="00CB5AA4"/>
    <w:rsid w:val="00CC0721"/>
    <w:rsid w:val="00CC54EB"/>
    <w:rsid w:val="00CD28ED"/>
    <w:rsid w:val="00CE635B"/>
    <w:rsid w:val="00CF446C"/>
    <w:rsid w:val="00CF78A2"/>
    <w:rsid w:val="00CF7EEE"/>
    <w:rsid w:val="00D02F9F"/>
    <w:rsid w:val="00D0455B"/>
    <w:rsid w:val="00D04827"/>
    <w:rsid w:val="00D126E2"/>
    <w:rsid w:val="00D16684"/>
    <w:rsid w:val="00D2015C"/>
    <w:rsid w:val="00D24AFD"/>
    <w:rsid w:val="00D27699"/>
    <w:rsid w:val="00D30D6A"/>
    <w:rsid w:val="00D31CA5"/>
    <w:rsid w:val="00D31F4A"/>
    <w:rsid w:val="00D365B7"/>
    <w:rsid w:val="00D36B8A"/>
    <w:rsid w:val="00D408D7"/>
    <w:rsid w:val="00D42E94"/>
    <w:rsid w:val="00D50EF6"/>
    <w:rsid w:val="00D517C8"/>
    <w:rsid w:val="00D5362A"/>
    <w:rsid w:val="00D5436A"/>
    <w:rsid w:val="00D62FC0"/>
    <w:rsid w:val="00D643B5"/>
    <w:rsid w:val="00D678C0"/>
    <w:rsid w:val="00D72CF9"/>
    <w:rsid w:val="00D735ED"/>
    <w:rsid w:val="00D775B9"/>
    <w:rsid w:val="00D81623"/>
    <w:rsid w:val="00D821D5"/>
    <w:rsid w:val="00D92562"/>
    <w:rsid w:val="00D945CD"/>
    <w:rsid w:val="00D96003"/>
    <w:rsid w:val="00DA20A4"/>
    <w:rsid w:val="00DA4FA8"/>
    <w:rsid w:val="00DB1709"/>
    <w:rsid w:val="00DB5161"/>
    <w:rsid w:val="00DC376F"/>
    <w:rsid w:val="00DC759B"/>
    <w:rsid w:val="00DD2F30"/>
    <w:rsid w:val="00DE347B"/>
    <w:rsid w:val="00DE4D14"/>
    <w:rsid w:val="00DF1AC0"/>
    <w:rsid w:val="00DF3558"/>
    <w:rsid w:val="00DF5208"/>
    <w:rsid w:val="00DF5B75"/>
    <w:rsid w:val="00DF6D50"/>
    <w:rsid w:val="00E05C03"/>
    <w:rsid w:val="00E05F53"/>
    <w:rsid w:val="00E15FB0"/>
    <w:rsid w:val="00E20449"/>
    <w:rsid w:val="00E218EB"/>
    <w:rsid w:val="00E21B32"/>
    <w:rsid w:val="00E228EC"/>
    <w:rsid w:val="00E23C63"/>
    <w:rsid w:val="00E24113"/>
    <w:rsid w:val="00E26B08"/>
    <w:rsid w:val="00E27648"/>
    <w:rsid w:val="00E30DE6"/>
    <w:rsid w:val="00E430E8"/>
    <w:rsid w:val="00E50DF1"/>
    <w:rsid w:val="00E62296"/>
    <w:rsid w:val="00E71965"/>
    <w:rsid w:val="00E94A41"/>
    <w:rsid w:val="00E96A81"/>
    <w:rsid w:val="00EA56D3"/>
    <w:rsid w:val="00EB6898"/>
    <w:rsid w:val="00EC335C"/>
    <w:rsid w:val="00EC540F"/>
    <w:rsid w:val="00ED166E"/>
    <w:rsid w:val="00ED1819"/>
    <w:rsid w:val="00ED6CD7"/>
    <w:rsid w:val="00EE165C"/>
    <w:rsid w:val="00EE3823"/>
    <w:rsid w:val="00EE569B"/>
    <w:rsid w:val="00EE72D8"/>
    <w:rsid w:val="00EE76FB"/>
    <w:rsid w:val="00EF3F59"/>
    <w:rsid w:val="00EF6A25"/>
    <w:rsid w:val="00F00B0B"/>
    <w:rsid w:val="00F0529E"/>
    <w:rsid w:val="00F10ECC"/>
    <w:rsid w:val="00F161D9"/>
    <w:rsid w:val="00F16B8F"/>
    <w:rsid w:val="00F16C44"/>
    <w:rsid w:val="00F20016"/>
    <w:rsid w:val="00F24C9E"/>
    <w:rsid w:val="00F326EB"/>
    <w:rsid w:val="00F335A0"/>
    <w:rsid w:val="00F33678"/>
    <w:rsid w:val="00F33A9F"/>
    <w:rsid w:val="00F362FD"/>
    <w:rsid w:val="00F44AF2"/>
    <w:rsid w:val="00F51409"/>
    <w:rsid w:val="00F55909"/>
    <w:rsid w:val="00F55ED1"/>
    <w:rsid w:val="00F57AAF"/>
    <w:rsid w:val="00F57B9A"/>
    <w:rsid w:val="00F6226A"/>
    <w:rsid w:val="00F65E2C"/>
    <w:rsid w:val="00F673F7"/>
    <w:rsid w:val="00F73642"/>
    <w:rsid w:val="00F76D20"/>
    <w:rsid w:val="00F81927"/>
    <w:rsid w:val="00F81BA0"/>
    <w:rsid w:val="00F83419"/>
    <w:rsid w:val="00F8715A"/>
    <w:rsid w:val="00F878AD"/>
    <w:rsid w:val="00F91B00"/>
    <w:rsid w:val="00FA25A8"/>
    <w:rsid w:val="00FB2180"/>
    <w:rsid w:val="00FC0F05"/>
    <w:rsid w:val="00FC1B89"/>
    <w:rsid w:val="00FC2503"/>
    <w:rsid w:val="00FD1C26"/>
    <w:rsid w:val="00FD1D80"/>
    <w:rsid w:val="00FD26B9"/>
    <w:rsid w:val="00FD6C18"/>
    <w:rsid w:val="00FE4EEC"/>
    <w:rsid w:val="00FF01CA"/>
    <w:rsid w:val="00FF156A"/>
    <w:rsid w:val="00FF574B"/>
    <w:rsid w:val="00FF6C3A"/>
    <w:rsid w:val="01D7007D"/>
    <w:rsid w:val="0CA4769F"/>
    <w:rsid w:val="0CF72B18"/>
    <w:rsid w:val="28547FAB"/>
    <w:rsid w:val="28E30E8A"/>
    <w:rsid w:val="30E25D37"/>
    <w:rsid w:val="3E1462DF"/>
    <w:rsid w:val="62EE2355"/>
    <w:rsid w:val="63330FB8"/>
    <w:rsid w:val="661E5A1C"/>
    <w:rsid w:val="6907518D"/>
    <w:rsid w:val="70646A01"/>
    <w:rsid w:val="72231E5F"/>
    <w:rsid w:val="728C7D4B"/>
    <w:rsid w:val="7ACA7A74"/>
    <w:rsid w:val="7FC24BA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0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A45F02"/>
    <w:rPr>
      <w:rFonts w:ascii="宋体" w:hAnsi="Courier New" w:cs="宋体"/>
      <w:kern w:val="0"/>
      <w:sz w:val="20"/>
      <w:szCs w:val="20"/>
    </w:rPr>
  </w:style>
  <w:style w:type="paragraph" w:styleId="a4">
    <w:name w:val="Date"/>
    <w:basedOn w:val="a"/>
    <w:next w:val="a"/>
    <w:link w:val="Char0"/>
    <w:uiPriority w:val="99"/>
    <w:qFormat/>
    <w:rsid w:val="00A45F02"/>
    <w:pPr>
      <w:ind w:leftChars="2500" w:left="100"/>
    </w:pPr>
  </w:style>
  <w:style w:type="paragraph" w:styleId="a5">
    <w:name w:val="Balloon Text"/>
    <w:basedOn w:val="a"/>
    <w:link w:val="Char1"/>
    <w:uiPriority w:val="99"/>
    <w:semiHidden/>
    <w:qFormat/>
    <w:rsid w:val="00A45F02"/>
    <w:rPr>
      <w:kern w:val="0"/>
      <w:sz w:val="18"/>
      <w:szCs w:val="18"/>
    </w:rPr>
  </w:style>
  <w:style w:type="paragraph" w:styleId="a6">
    <w:name w:val="footer"/>
    <w:basedOn w:val="a"/>
    <w:link w:val="Char2"/>
    <w:uiPriority w:val="99"/>
    <w:qFormat/>
    <w:rsid w:val="00A45F02"/>
    <w:pPr>
      <w:tabs>
        <w:tab w:val="center" w:pos="4153"/>
        <w:tab w:val="right" w:pos="8306"/>
      </w:tabs>
      <w:snapToGrid w:val="0"/>
      <w:jc w:val="left"/>
    </w:pPr>
    <w:rPr>
      <w:kern w:val="0"/>
      <w:sz w:val="18"/>
      <w:szCs w:val="18"/>
    </w:rPr>
  </w:style>
  <w:style w:type="paragraph" w:styleId="a7">
    <w:name w:val="header"/>
    <w:basedOn w:val="a"/>
    <w:link w:val="Char3"/>
    <w:uiPriority w:val="99"/>
    <w:qFormat/>
    <w:rsid w:val="00A45F02"/>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qFormat/>
    <w:rsid w:val="00A45F02"/>
    <w:pPr>
      <w:widowControl/>
      <w:spacing w:before="100" w:beforeAutospacing="1" w:after="100" w:afterAutospacing="1"/>
      <w:jc w:val="left"/>
    </w:pPr>
    <w:rPr>
      <w:rFonts w:ascii="宋体" w:hAnsi="宋体" w:cs="宋体"/>
      <w:kern w:val="0"/>
      <w:sz w:val="24"/>
      <w:szCs w:val="24"/>
    </w:rPr>
  </w:style>
  <w:style w:type="character" w:customStyle="1" w:styleId="Char">
    <w:name w:val="纯文本 Char"/>
    <w:basedOn w:val="a0"/>
    <w:link w:val="a3"/>
    <w:uiPriority w:val="99"/>
    <w:qFormat/>
    <w:locked/>
    <w:rsid w:val="00A45F02"/>
    <w:rPr>
      <w:rFonts w:ascii="宋体" w:eastAsia="宋体" w:hAnsi="Courier New" w:cs="宋体"/>
      <w:sz w:val="20"/>
      <w:szCs w:val="20"/>
    </w:rPr>
  </w:style>
  <w:style w:type="character" w:customStyle="1" w:styleId="Char0">
    <w:name w:val="日期 Char"/>
    <w:basedOn w:val="a0"/>
    <w:link w:val="a4"/>
    <w:uiPriority w:val="99"/>
    <w:semiHidden/>
    <w:qFormat/>
    <w:locked/>
    <w:rsid w:val="00A45F02"/>
  </w:style>
  <w:style w:type="character" w:customStyle="1" w:styleId="Char1">
    <w:name w:val="批注框文本 Char"/>
    <w:basedOn w:val="a0"/>
    <w:link w:val="a5"/>
    <w:uiPriority w:val="99"/>
    <w:semiHidden/>
    <w:qFormat/>
    <w:locked/>
    <w:rsid w:val="00A45F02"/>
    <w:rPr>
      <w:sz w:val="18"/>
      <w:szCs w:val="18"/>
    </w:rPr>
  </w:style>
  <w:style w:type="character" w:customStyle="1" w:styleId="Char2">
    <w:name w:val="页脚 Char"/>
    <w:basedOn w:val="a0"/>
    <w:link w:val="a6"/>
    <w:uiPriority w:val="99"/>
    <w:qFormat/>
    <w:locked/>
    <w:rsid w:val="00A45F02"/>
    <w:rPr>
      <w:sz w:val="18"/>
      <w:szCs w:val="18"/>
    </w:rPr>
  </w:style>
  <w:style w:type="character" w:customStyle="1" w:styleId="Char3">
    <w:name w:val="页眉 Char"/>
    <w:basedOn w:val="a0"/>
    <w:link w:val="a7"/>
    <w:uiPriority w:val="99"/>
    <w:semiHidden/>
    <w:qFormat/>
    <w:locked/>
    <w:rsid w:val="00A45F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155</Words>
  <Characters>890</Characters>
  <Application>Microsoft Office Word</Application>
  <DocSecurity>0</DocSecurity>
  <Lines>7</Lines>
  <Paragraphs>2</Paragraphs>
  <ScaleCrop>false</ScaleCrop>
  <Company>中国仙剑音乐网</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关于2016年市级政府性基金决算</dc:title>
  <dc:creator>牛嘉丽</dc:creator>
  <cp:lastModifiedBy>l</cp:lastModifiedBy>
  <cp:revision>25</cp:revision>
  <cp:lastPrinted>2021-09-02T03:21:00Z</cp:lastPrinted>
  <dcterms:created xsi:type="dcterms:W3CDTF">2017-09-12T01:42:00Z</dcterms:created>
  <dcterms:modified xsi:type="dcterms:W3CDTF">2022-09-09T02:16:00Z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